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4EC" w:rsidRPr="00371B91" w:rsidRDefault="00CB54EC" w:rsidP="00CB54EC">
      <w:pPr>
        <w:ind w:left="2410" w:right="1133" w:hanging="1418"/>
        <w:jc w:val="both"/>
        <w:rPr>
          <w:rFonts w:ascii="Tahoma" w:hAnsi="Tahoma" w:cs="Tahoma"/>
          <w:b/>
          <w:i/>
          <w:sz w:val="20"/>
          <w:szCs w:val="20"/>
        </w:rPr>
      </w:pPr>
    </w:p>
    <w:p w:rsidR="00CB54EC" w:rsidRPr="00371B91" w:rsidRDefault="00CB54EC" w:rsidP="00CB54EC">
      <w:pPr>
        <w:ind w:right="1134"/>
        <w:jc w:val="both"/>
        <w:rPr>
          <w:rFonts w:ascii="Tahoma" w:hAnsi="Tahoma" w:cs="Tahoma"/>
          <w:b/>
          <w:i/>
          <w:sz w:val="20"/>
          <w:szCs w:val="20"/>
        </w:rPr>
      </w:pPr>
    </w:p>
    <w:p w:rsidR="00CB54EC" w:rsidRPr="00371B91" w:rsidRDefault="00CB54EC" w:rsidP="00CB54EC">
      <w:pPr>
        <w:ind w:right="1274"/>
        <w:jc w:val="both"/>
        <w:rPr>
          <w:rFonts w:ascii="Tahoma" w:hAnsi="Tahoma" w:cs="Tahoma"/>
          <w:b/>
          <w:i/>
          <w:sz w:val="16"/>
          <w:szCs w:val="16"/>
        </w:rPr>
      </w:pPr>
    </w:p>
    <w:p w:rsidR="00F417DC" w:rsidRPr="00371B91" w:rsidRDefault="00F417DC" w:rsidP="0027230D">
      <w:pPr>
        <w:ind w:left="2268" w:right="1758" w:hanging="850"/>
        <w:jc w:val="both"/>
        <w:rPr>
          <w:rFonts w:ascii="Tahoma" w:hAnsi="Tahoma" w:cs="Tahoma"/>
          <w:i/>
          <w:sz w:val="16"/>
          <w:szCs w:val="16"/>
        </w:rPr>
      </w:pPr>
      <w:r w:rsidRPr="00371B91">
        <w:rPr>
          <w:rFonts w:ascii="Tahoma" w:hAnsi="Tahoma" w:cs="Tahoma"/>
          <w:b/>
          <w:i/>
          <w:sz w:val="16"/>
          <w:szCs w:val="16"/>
        </w:rPr>
        <w:t>Sumilla:</w:t>
      </w:r>
      <w:r w:rsidRPr="00371B91">
        <w:rPr>
          <w:rFonts w:ascii="Tahoma" w:hAnsi="Tahoma" w:cs="Tahoma"/>
          <w:sz w:val="16"/>
          <w:szCs w:val="16"/>
        </w:rPr>
        <w:t xml:space="preserve"> </w:t>
      </w:r>
      <w:r w:rsidR="0027230D">
        <w:rPr>
          <w:rFonts w:ascii="Tahoma" w:hAnsi="Tahoma" w:cs="Tahoma"/>
          <w:sz w:val="16"/>
          <w:szCs w:val="16"/>
        </w:rPr>
        <w:tab/>
        <w:t xml:space="preserve"> </w:t>
      </w:r>
      <w:r w:rsidR="00971A1A" w:rsidRPr="00371B91">
        <w:rPr>
          <w:rFonts w:ascii="Tahoma" w:hAnsi="Tahoma" w:cs="Tahoma"/>
          <w:sz w:val="16"/>
          <w:szCs w:val="16"/>
        </w:rPr>
        <w:t>“</w:t>
      </w:r>
      <w:r w:rsidR="0027230D" w:rsidRPr="0027230D">
        <w:rPr>
          <w:rFonts w:ascii="Tahoma" w:hAnsi="Tahoma" w:cs="Tahoma"/>
          <w:i/>
          <w:sz w:val="16"/>
          <w:szCs w:val="16"/>
        </w:rPr>
        <w:t xml:space="preserve">En tal sentido, debe tenerse presente que para la configuración </w:t>
      </w:r>
      <w:r w:rsidR="0027230D">
        <w:rPr>
          <w:rFonts w:ascii="Tahoma" w:hAnsi="Tahoma" w:cs="Tahoma"/>
          <w:i/>
          <w:sz w:val="16"/>
          <w:szCs w:val="16"/>
        </w:rPr>
        <w:t xml:space="preserve">   </w:t>
      </w:r>
      <w:r w:rsidR="0027230D" w:rsidRPr="0027230D">
        <w:rPr>
          <w:rFonts w:ascii="Tahoma" w:hAnsi="Tahoma" w:cs="Tahoma"/>
          <w:i/>
          <w:sz w:val="16"/>
          <w:szCs w:val="16"/>
        </w:rPr>
        <w:t>del supuesto de hecho de la norma que contiene la infracción incoada, es necesario acreditar si el Postor a la fecha del registro o de presentación de propuestas contaba con inscripción vigente en el R</w:t>
      </w:r>
      <w:r w:rsidR="0027230D">
        <w:rPr>
          <w:rFonts w:ascii="Tahoma" w:hAnsi="Tahoma" w:cs="Tahoma"/>
          <w:i/>
          <w:sz w:val="16"/>
          <w:szCs w:val="16"/>
        </w:rPr>
        <w:t>egistro Nacional de Proveedores</w:t>
      </w:r>
      <w:r w:rsidR="00971A1A" w:rsidRPr="00371B91">
        <w:rPr>
          <w:rFonts w:ascii="Tahoma" w:hAnsi="Tahoma" w:cs="Tahoma"/>
          <w:i/>
          <w:sz w:val="16"/>
          <w:szCs w:val="16"/>
        </w:rPr>
        <w:t>”.</w:t>
      </w:r>
    </w:p>
    <w:p w:rsidR="00F808D3" w:rsidRPr="00371B91" w:rsidRDefault="00F808D3" w:rsidP="00971A1A">
      <w:pPr>
        <w:ind w:left="1701" w:right="1758"/>
        <w:jc w:val="both"/>
        <w:rPr>
          <w:rFonts w:ascii="Tahoma" w:hAnsi="Tahoma" w:cs="Tahoma"/>
          <w:b/>
          <w:sz w:val="20"/>
          <w:szCs w:val="20"/>
        </w:rPr>
      </w:pPr>
    </w:p>
    <w:p w:rsidR="00F417DC" w:rsidRPr="00371B91" w:rsidRDefault="00440454" w:rsidP="00440454">
      <w:pPr>
        <w:pStyle w:val="Textoindependiente3"/>
        <w:tabs>
          <w:tab w:val="left" w:pos="5670"/>
          <w:tab w:val="left" w:pos="5954"/>
          <w:tab w:val="left" w:pos="6521"/>
          <w:tab w:val="left" w:pos="7513"/>
        </w:tabs>
        <w:ind w:right="179"/>
        <w:rPr>
          <w:rFonts w:ascii="Tahoma" w:hAnsi="Tahoma" w:cs="Tahoma"/>
        </w:rPr>
      </w:pPr>
      <w:r w:rsidRPr="00371B91">
        <w:rPr>
          <w:rFonts w:ascii="Tahoma" w:hAnsi="Tahoma" w:cs="Tahoma"/>
        </w:rPr>
        <w:t xml:space="preserve">                                                            </w:t>
      </w:r>
      <w:r w:rsidR="00F417DC" w:rsidRPr="00371B91">
        <w:rPr>
          <w:rFonts w:ascii="Tahoma" w:hAnsi="Tahoma" w:cs="Tahoma"/>
        </w:rPr>
        <w:t xml:space="preserve">Lima, </w:t>
      </w:r>
      <w:r w:rsidR="00101CF1">
        <w:rPr>
          <w:rFonts w:ascii="Tahoma" w:hAnsi="Tahoma" w:cs="Tahoma"/>
        </w:rPr>
        <w:t>27 de Mayo de 2011</w:t>
      </w:r>
    </w:p>
    <w:p w:rsidR="00F417DC" w:rsidRPr="00371B91" w:rsidRDefault="00F417DC" w:rsidP="00F417DC">
      <w:pPr>
        <w:pStyle w:val="Textoindependiente3"/>
        <w:rPr>
          <w:rFonts w:ascii="Tahoma" w:hAnsi="Tahoma" w:cs="Tahoma"/>
        </w:rPr>
      </w:pPr>
    </w:p>
    <w:p w:rsidR="00F417DC" w:rsidRPr="00371B91" w:rsidRDefault="00F417DC" w:rsidP="00F417DC">
      <w:pPr>
        <w:ind w:right="45"/>
        <w:jc w:val="both"/>
        <w:rPr>
          <w:rFonts w:ascii="Tahoma" w:hAnsi="Tahoma" w:cs="Tahoma"/>
          <w:sz w:val="20"/>
          <w:szCs w:val="20"/>
        </w:rPr>
      </w:pPr>
      <w:r w:rsidRPr="00371B91">
        <w:rPr>
          <w:rFonts w:ascii="Tahoma" w:hAnsi="Tahoma" w:cs="Tahoma"/>
          <w:b/>
          <w:sz w:val="20"/>
          <w:szCs w:val="20"/>
        </w:rPr>
        <w:t>VISTO</w:t>
      </w:r>
      <w:r w:rsidRPr="00371B91">
        <w:rPr>
          <w:rFonts w:ascii="Tahoma" w:hAnsi="Tahoma" w:cs="Tahoma"/>
          <w:sz w:val="20"/>
          <w:szCs w:val="20"/>
        </w:rPr>
        <w:t xml:space="preserve"> en sesión de fecha </w:t>
      </w:r>
      <w:r w:rsidR="00371B91">
        <w:rPr>
          <w:rFonts w:ascii="Tahoma" w:hAnsi="Tahoma" w:cs="Tahoma"/>
          <w:sz w:val="20"/>
          <w:szCs w:val="20"/>
        </w:rPr>
        <w:t>27</w:t>
      </w:r>
      <w:r w:rsidR="00EF4BC8" w:rsidRPr="00371B91">
        <w:rPr>
          <w:rFonts w:ascii="Tahoma" w:hAnsi="Tahoma" w:cs="Tahoma"/>
          <w:sz w:val="20"/>
          <w:szCs w:val="20"/>
        </w:rPr>
        <w:t xml:space="preserve"> de ma</w:t>
      </w:r>
      <w:r w:rsidR="0081322F" w:rsidRPr="00371B91">
        <w:rPr>
          <w:rFonts w:ascii="Tahoma" w:hAnsi="Tahoma" w:cs="Tahoma"/>
          <w:sz w:val="20"/>
          <w:szCs w:val="20"/>
        </w:rPr>
        <w:t>y</w:t>
      </w:r>
      <w:r w:rsidR="00EF4BC8" w:rsidRPr="00371B91">
        <w:rPr>
          <w:rFonts w:ascii="Tahoma" w:hAnsi="Tahoma" w:cs="Tahoma"/>
          <w:sz w:val="20"/>
          <w:szCs w:val="20"/>
        </w:rPr>
        <w:t>o</w:t>
      </w:r>
      <w:r w:rsidR="00440454" w:rsidRPr="00371B91">
        <w:rPr>
          <w:rFonts w:ascii="Tahoma" w:hAnsi="Tahoma" w:cs="Tahoma"/>
          <w:sz w:val="20"/>
          <w:szCs w:val="20"/>
        </w:rPr>
        <w:t xml:space="preserve"> de 201</w:t>
      </w:r>
      <w:r w:rsidR="00371B91">
        <w:rPr>
          <w:rFonts w:ascii="Tahoma" w:hAnsi="Tahoma" w:cs="Tahoma"/>
          <w:sz w:val="20"/>
          <w:szCs w:val="20"/>
        </w:rPr>
        <w:t>1</w:t>
      </w:r>
      <w:r w:rsidRPr="00371B91">
        <w:rPr>
          <w:rFonts w:ascii="Tahoma" w:hAnsi="Tahoma" w:cs="Tahoma"/>
          <w:sz w:val="20"/>
          <w:szCs w:val="20"/>
        </w:rPr>
        <w:t xml:space="preserve"> de la </w:t>
      </w:r>
      <w:r w:rsidR="00371B91">
        <w:rPr>
          <w:rFonts w:ascii="Tahoma" w:hAnsi="Tahoma" w:cs="Tahoma"/>
          <w:sz w:val="20"/>
          <w:szCs w:val="20"/>
        </w:rPr>
        <w:t xml:space="preserve">Primera </w:t>
      </w:r>
      <w:r w:rsidRPr="00371B91">
        <w:rPr>
          <w:rFonts w:ascii="Tahoma" w:hAnsi="Tahoma" w:cs="Tahoma"/>
          <w:sz w:val="20"/>
          <w:szCs w:val="20"/>
        </w:rPr>
        <w:t xml:space="preserve">Sala del Tribunal de Contrataciones del Estado el Expediente № </w:t>
      </w:r>
      <w:r w:rsidR="00371B91">
        <w:rPr>
          <w:rFonts w:ascii="Tahoma" w:hAnsi="Tahoma" w:cs="Tahoma"/>
          <w:sz w:val="20"/>
          <w:szCs w:val="20"/>
        </w:rPr>
        <w:t>1832</w:t>
      </w:r>
      <w:r w:rsidRPr="00371B91">
        <w:rPr>
          <w:rFonts w:ascii="Tahoma" w:hAnsi="Tahoma" w:cs="Tahoma"/>
          <w:sz w:val="20"/>
          <w:szCs w:val="20"/>
        </w:rPr>
        <w:t>/20</w:t>
      </w:r>
      <w:r w:rsidR="00371B91">
        <w:rPr>
          <w:rFonts w:ascii="Tahoma" w:hAnsi="Tahoma" w:cs="Tahoma"/>
          <w:sz w:val="20"/>
          <w:szCs w:val="20"/>
        </w:rPr>
        <w:t>10</w:t>
      </w:r>
      <w:r w:rsidRPr="00371B91">
        <w:rPr>
          <w:rFonts w:ascii="Tahoma" w:hAnsi="Tahoma" w:cs="Tahoma"/>
          <w:sz w:val="20"/>
          <w:szCs w:val="20"/>
        </w:rPr>
        <w:t xml:space="preserve">.TC, sobre el procedimiento administrativo sancionador contra </w:t>
      </w:r>
      <w:r w:rsidR="003944CA" w:rsidRPr="00371B91">
        <w:rPr>
          <w:rFonts w:ascii="Tahoma" w:hAnsi="Tahoma" w:cs="Tahoma"/>
          <w:sz w:val="20"/>
          <w:szCs w:val="20"/>
          <w:lang w:val="es-PE"/>
        </w:rPr>
        <w:t xml:space="preserve">la empresa </w:t>
      </w:r>
      <w:r w:rsidR="00371B91" w:rsidRPr="00371B91">
        <w:rPr>
          <w:rFonts w:ascii="Tahoma" w:eastAsiaTheme="minorHAnsi" w:hAnsi="Tahoma" w:cs="Tahoma"/>
          <w:sz w:val="20"/>
          <w:szCs w:val="20"/>
          <w:lang w:eastAsia="en-US"/>
        </w:rPr>
        <w:t>MAKNO INGENIEROS S.A.</w:t>
      </w:r>
      <w:r w:rsidRPr="00371B91">
        <w:rPr>
          <w:rFonts w:ascii="Tahoma" w:hAnsi="Tahoma" w:cs="Tahoma"/>
          <w:sz w:val="20"/>
          <w:szCs w:val="20"/>
        </w:rPr>
        <w:t xml:space="preserve"> por su supuesta responsabilidad </w:t>
      </w:r>
      <w:r w:rsidR="001A3A89" w:rsidRPr="00371B91">
        <w:rPr>
          <w:rFonts w:ascii="Tahoma" w:hAnsi="Tahoma" w:cs="Tahoma"/>
          <w:sz w:val="20"/>
          <w:szCs w:val="20"/>
        </w:rPr>
        <w:t xml:space="preserve">al haber participado en la </w:t>
      </w:r>
      <w:r w:rsidR="00371B91" w:rsidRPr="00371B91">
        <w:rPr>
          <w:rFonts w:ascii="Tahoma" w:hAnsi="Tahoma" w:cs="Tahoma"/>
          <w:sz w:val="20"/>
          <w:szCs w:val="20"/>
        </w:rPr>
        <w:t>Competencia Menor № CME-0097-2010-OFP/PETROPERU</w:t>
      </w:r>
      <w:r w:rsidR="002A4D6E" w:rsidRPr="00371B91">
        <w:rPr>
          <w:rFonts w:ascii="Tahoma" w:hAnsi="Tahoma" w:cs="Tahoma"/>
          <w:sz w:val="20"/>
          <w:szCs w:val="20"/>
        </w:rPr>
        <w:t>, primera convocatoria</w:t>
      </w:r>
      <w:r w:rsidR="00254079" w:rsidRPr="00371B91">
        <w:rPr>
          <w:rFonts w:ascii="Tahoma" w:hAnsi="Tahoma" w:cs="Tahoma"/>
          <w:sz w:val="20"/>
          <w:szCs w:val="20"/>
        </w:rPr>
        <w:t xml:space="preserve">, </w:t>
      </w:r>
      <w:r w:rsidR="001A3A89" w:rsidRPr="00371B91">
        <w:rPr>
          <w:rFonts w:ascii="Tahoma" w:hAnsi="Tahoma" w:cs="Tahoma"/>
          <w:sz w:val="20"/>
          <w:szCs w:val="20"/>
        </w:rPr>
        <w:t>sin contar con inscripción vigente en el Registro Nacional de Proveedores</w:t>
      </w:r>
      <w:r w:rsidRPr="00371B91">
        <w:rPr>
          <w:rFonts w:ascii="Tahoma" w:hAnsi="Tahoma" w:cs="Tahoma"/>
          <w:sz w:val="20"/>
          <w:szCs w:val="20"/>
        </w:rPr>
        <w:t xml:space="preserve">, </w:t>
      </w:r>
      <w:r w:rsidR="000A0126" w:rsidRPr="00371B91">
        <w:rPr>
          <w:rFonts w:ascii="Tahoma" w:hAnsi="Tahoma" w:cs="Tahoma"/>
          <w:sz w:val="20"/>
          <w:szCs w:val="20"/>
        </w:rPr>
        <w:t>convocado</w:t>
      </w:r>
      <w:r w:rsidR="00D07001" w:rsidRPr="00371B91">
        <w:rPr>
          <w:rFonts w:ascii="Tahoma" w:hAnsi="Tahoma" w:cs="Tahoma"/>
          <w:sz w:val="20"/>
          <w:szCs w:val="20"/>
        </w:rPr>
        <w:t xml:space="preserve"> por</w:t>
      </w:r>
      <w:r w:rsidRPr="00371B91">
        <w:rPr>
          <w:rFonts w:ascii="Tahoma" w:hAnsi="Tahoma" w:cs="Tahoma"/>
          <w:sz w:val="20"/>
          <w:szCs w:val="20"/>
        </w:rPr>
        <w:t xml:space="preserve"> </w:t>
      </w:r>
      <w:r w:rsidR="00371B91" w:rsidRPr="00371B91">
        <w:rPr>
          <w:rFonts w:ascii="Tahoma" w:hAnsi="Tahoma" w:cs="Tahoma"/>
          <w:sz w:val="20"/>
          <w:szCs w:val="20"/>
        </w:rPr>
        <w:t>Petróleos del Perú - PETROPERU S.A.</w:t>
      </w:r>
      <w:r w:rsidR="001819B0" w:rsidRPr="00371B91">
        <w:rPr>
          <w:rFonts w:ascii="Tahoma" w:hAnsi="Tahoma" w:cs="Tahoma"/>
          <w:sz w:val="20"/>
          <w:szCs w:val="20"/>
        </w:rPr>
        <w:t>,</w:t>
      </w:r>
      <w:r w:rsidR="008441F9" w:rsidRPr="00371B91">
        <w:rPr>
          <w:rFonts w:ascii="Tahoma" w:hAnsi="Tahoma" w:cs="Tahoma"/>
          <w:sz w:val="20"/>
          <w:szCs w:val="20"/>
        </w:rPr>
        <w:t xml:space="preserve"> para </w:t>
      </w:r>
      <w:r w:rsidR="00371B91" w:rsidRPr="00371B91">
        <w:rPr>
          <w:rFonts w:ascii="Tahoma" w:hAnsi="Tahoma" w:cs="Tahoma"/>
          <w:sz w:val="20"/>
          <w:szCs w:val="20"/>
        </w:rPr>
        <w:t>el “Servicio de Consultoría Elaboración de Expediente Técnico para la Renovación del Sistema de Desagüe del Edificio de Oficina Principal de la Entidad”</w:t>
      </w:r>
      <w:r w:rsidRPr="00371B91">
        <w:rPr>
          <w:rFonts w:ascii="Tahoma" w:hAnsi="Tahoma" w:cs="Tahoma"/>
          <w:sz w:val="20"/>
          <w:szCs w:val="20"/>
        </w:rPr>
        <w:t xml:space="preserve">; y atendiendo a los siguientes: </w:t>
      </w:r>
    </w:p>
    <w:p w:rsidR="00CB54EC" w:rsidRPr="00371B91" w:rsidRDefault="00CB54EC" w:rsidP="00CB54EC">
      <w:pPr>
        <w:ind w:right="45"/>
        <w:jc w:val="both"/>
        <w:rPr>
          <w:rFonts w:ascii="Tahoma" w:hAnsi="Tahoma" w:cs="Tahoma"/>
          <w:b/>
          <w:sz w:val="20"/>
          <w:szCs w:val="20"/>
        </w:rPr>
      </w:pPr>
    </w:p>
    <w:p w:rsidR="00CB54EC" w:rsidRPr="00371B91" w:rsidRDefault="00CB54EC" w:rsidP="003F20E3">
      <w:pPr>
        <w:ind w:firstLine="567"/>
        <w:jc w:val="both"/>
        <w:rPr>
          <w:rFonts w:ascii="Tahoma" w:hAnsi="Tahoma" w:cs="Tahoma"/>
          <w:b/>
          <w:sz w:val="20"/>
          <w:szCs w:val="20"/>
        </w:rPr>
      </w:pPr>
      <w:r w:rsidRPr="00371B91">
        <w:rPr>
          <w:rFonts w:ascii="Tahoma" w:hAnsi="Tahoma" w:cs="Tahoma"/>
          <w:b/>
          <w:sz w:val="20"/>
          <w:szCs w:val="20"/>
        </w:rPr>
        <w:t>ANTECEDENTES:</w:t>
      </w:r>
    </w:p>
    <w:p w:rsidR="00CB54EC" w:rsidRPr="00371B91" w:rsidRDefault="00CB54EC" w:rsidP="00CB54EC">
      <w:pPr>
        <w:ind w:left="426"/>
        <w:jc w:val="both"/>
        <w:rPr>
          <w:rFonts w:ascii="Tahoma" w:hAnsi="Tahoma" w:cs="Tahoma"/>
          <w:b/>
          <w:bCs/>
          <w:shadow/>
          <w:sz w:val="20"/>
          <w:szCs w:val="20"/>
        </w:rPr>
      </w:pPr>
    </w:p>
    <w:p w:rsidR="00371B91" w:rsidRPr="00371B91" w:rsidRDefault="00371B91" w:rsidP="00371B91">
      <w:pPr>
        <w:numPr>
          <w:ilvl w:val="0"/>
          <w:numId w:val="23"/>
        </w:numPr>
        <w:tabs>
          <w:tab w:val="clear" w:pos="360"/>
          <w:tab w:val="num" w:pos="567"/>
          <w:tab w:val="left" w:pos="4320"/>
        </w:tabs>
        <w:ind w:left="567" w:hanging="567"/>
        <w:jc w:val="both"/>
        <w:rPr>
          <w:rFonts w:ascii="Tahoma" w:hAnsi="Tahoma" w:cs="Tahoma"/>
          <w:b/>
          <w:bCs/>
          <w:sz w:val="20"/>
          <w:szCs w:val="20"/>
        </w:rPr>
      </w:pPr>
      <w:r w:rsidRPr="00371B91">
        <w:rPr>
          <w:rFonts w:ascii="Tahoma" w:hAnsi="Tahoma" w:cs="Tahoma"/>
          <w:sz w:val="20"/>
          <w:szCs w:val="20"/>
        </w:rPr>
        <w:t>El  06 de septiembre de 2010, Petróleos del Perú - PETROPERU S.A.</w:t>
      </w:r>
      <w:r w:rsidRPr="00371B91">
        <w:rPr>
          <w:rFonts w:ascii="Tahoma" w:hAnsi="Tahoma" w:cs="Tahoma"/>
          <w:sz w:val="20"/>
          <w:szCs w:val="20"/>
          <w:lang w:val="es-PE"/>
        </w:rPr>
        <w:t xml:space="preserve">, en adelante la Entidad, </w:t>
      </w:r>
      <w:r w:rsidRPr="00371B91">
        <w:rPr>
          <w:rFonts w:ascii="Tahoma" w:hAnsi="Tahoma" w:cs="Tahoma"/>
          <w:sz w:val="20"/>
          <w:szCs w:val="20"/>
        </w:rPr>
        <w:t>convocó la Competencia Menor № CME-0097-2010-OFP/PETROPERU, primera convocatoria, para el “Servicio de Consultoría Elaboración de Expediente Técnico para la Renovación del Sistema de Desagüe del Edificio de Oficina Principal de la Entidad”, bajo el sistema de suma alzada, con un valor referencial ascendente S/. 72 780.40 (Setenta dos mil setecientos ochenta con 40/100 nuevos soles), incluido los impuestos de Ley.</w:t>
      </w:r>
    </w:p>
    <w:p w:rsidR="00371B91" w:rsidRPr="00371B91" w:rsidRDefault="00371B91" w:rsidP="00371B91">
      <w:pPr>
        <w:tabs>
          <w:tab w:val="left" w:pos="4320"/>
        </w:tabs>
        <w:ind w:left="567"/>
        <w:jc w:val="both"/>
        <w:rPr>
          <w:rFonts w:ascii="Tahoma" w:hAnsi="Tahoma" w:cs="Tahoma"/>
          <w:b/>
          <w:bCs/>
          <w:sz w:val="20"/>
          <w:szCs w:val="20"/>
        </w:rPr>
      </w:pPr>
    </w:p>
    <w:p w:rsidR="00371B91" w:rsidRPr="00371B91" w:rsidRDefault="00371B91" w:rsidP="00371B91">
      <w:pPr>
        <w:numPr>
          <w:ilvl w:val="0"/>
          <w:numId w:val="23"/>
        </w:numPr>
        <w:tabs>
          <w:tab w:val="clear" w:pos="360"/>
          <w:tab w:val="num" w:pos="567"/>
          <w:tab w:val="left" w:pos="4320"/>
        </w:tabs>
        <w:ind w:left="567" w:hanging="567"/>
        <w:jc w:val="both"/>
        <w:rPr>
          <w:rFonts w:ascii="Tahoma" w:hAnsi="Tahoma" w:cs="Tahoma"/>
          <w:b/>
          <w:bCs/>
          <w:sz w:val="20"/>
          <w:szCs w:val="20"/>
        </w:rPr>
      </w:pPr>
      <w:r w:rsidRPr="00371B91">
        <w:rPr>
          <w:rFonts w:ascii="Tahoma" w:hAnsi="Tahoma" w:cs="Tahoma"/>
          <w:sz w:val="20"/>
          <w:szCs w:val="20"/>
        </w:rPr>
        <w:t>Con fecha 13 de septiembre de 2010, la empresa MAKNO INGENIEROS S.A., en adelante el Postor, presentó su propuesta técnica y económica en la Oficina de Trámite Documentario de la Entidad, la cual resultó descalificada al advertir que dicho Postor no contaba con inscripción vigente en el Registro Nacional de Proveedores de Servicios.</w:t>
      </w:r>
    </w:p>
    <w:p w:rsidR="00371B91" w:rsidRPr="00371B91" w:rsidRDefault="00371B91" w:rsidP="00371B91">
      <w:pPr>
        <w:pStyle w:val="Prrafodelista"/>
        <w:rPr>
          <w:rFonts w:ascii="Tahoma" w:hAnsi="Tahoma" w:cs="Tahoma"/>
        </w:rPr>
      </w:pPr>
    </w:p>
    <w:p w:rsidR="00371B91" w:rsidRPr="00371B91" w:rsidRDefault="00371B91" w:rsidP="00371B91">
      <w:pPr>
        <w:numPr>
          <w:ilvl w:val="0"/>
          <w:numId w:val="23"/>
        </w:numPr>
        <w:tabs>
          <w:tab w:val="clear" w:pos="360"/>
          <w:tab w:val="num" w:pos="567"/>
          <w:tab w:val="left" w:pos="4320"/>
        </w:tabs>
        <w:ind w:left="567" w:hanging="567"/>
        <w:jc w:val="both"/>
        <w:rPr>
          <w:rFonts w:ascii="Tahoma" w:hAnsi="Tahoma" w:cs="Tahoma"/>
          <w:b/>
          <w:bCs/>
          <w:sz w:val="20"/>
          <w:szCs w:val="20"/>
        </w:rPr>
      </w:pPr>
      <w:r w:rsidRPr="00371B91">
        <w:rPr>
          <w:rFonts w:ascii="Tahoma" w:hAnsi="Tahoma" w:cs="Tahoma"/>
          <w:sz w:val="20"/>
          <w:szCs w:val="20"/>
        </w:rPr>
        <w:t>Mediante Formulario de Aplicación de Sanción presentado el 27 de diciembre de 2010, la Entidad comunicó a este Tribunal de Contrataciones del Estado, en adelante el Tribunal, la supuesta infracción cometida por el Postor, al haber participado en el citado proceso de selección sin contar con inscripción vigente en el Registro Nacional de Proveedores.</w:t>
      </w:r>
    </w:p>
    <w:p w:rsidR="00371B91" w:rsidRPr="00371B91" w:rsidRDefault="00371B91" w:rsidP="00371B91">
      <w:pPr>
        <w:pStyle w:val="Prrafodelista"/>
        <w:rPr>
          <w:rFonts w:ascii="Tahoma" w:hAnsi="Tahoma" w:cs="Tahoma"/>
        </w:rPr>
      </w:pPr>
    </w:p>
    <w:p w:rsidR="00371B91" w:rsidRPr="00371B91" w:rsidRDefault="00371B91" w:rsidP="00371B91">
      <w:pPr>
        <w:numPr>
          <w:ilvl w:val="0"/>
          <w:numId w:val="23"/>
        </w:numPr>
        <w:tabs>
          <w:tab w:val="clear" w:pos="360"/>
          <w:tab w:val="num" w:pos="567"/>
          <w:tab w:val="left" w:pos="4320"/>
        </w:tabs>
        <w:ind w:left="567" w:hanging="567"/>
        <w:jc w:val="both"/>
        <w:rPr>
          <w:rFonts w:ascii="Tahoma" w:hAnsi="Tahoma" w:cs="Tahoma"/>
          <w:b/>
          <w:bCs/>
          <w:sz w:val="20"/>
          <w:szCs w:val="20"/>
        </w:rPr>
      </w:pPr>
      <w:r w:rsidRPr="00371B91">
        <w:rPr>
          <w:rFonts w:ascii="Tahoma" w:hAnsi="Tahoma" w:cs="Tahoma"/>
          <w:sz w:val="20"/>
          <w:szCs w:val="20"/>
        </w:rPr>
        <w:t>Con decreto de fecha 30 de diciembre de 2010, notificado el 14 de marzo de 2011, el Tribunal inició el procedimiento administrativo sancionador contra el Postor por su supuesta responsabilidad al haber participado en la Competencia Menor № CME-0097-2010-OFP/PETROPERU, primera convocatoria, sin contar con inscripción vigente en el Registro Nacional de Proveedores derivado de la Adjudicación Directa Pública № 001-2009-MDC/CEP, infracción tipificada en el literal e) del numeral 51.1 del artículo 51 de la Ley. Asimismo, se le otorgó el plazo de diez días (10) hábiles para que presentase sus descargos, bajo apercibimiento de resolver con la documentación obrante en autos.</w:t>
      </w:r>
    </w:p>
    <w:p w:rsidR="00371B91" w:rsidRPr="00371B91" w:rsidRDefault="00371B91" w:rsidP="00371B91">
      <w:pPr>
        <w:pStyle w:val="Prrafodelista"/>
        <w:rPr>
          <w:rFonts w:ascii="Tahoma" w:hAnsi="Tahoma" w:cs="Tahoma"/>
          <w:b/>
          <w:bCs/>
        </w:rPr>
      </w:pPr>
    </w:p>
    <w:p w:rsidR="00371B91" w:rsidRPr="00371B91" w:rsidRDefault="00371B91" w:rsidP="00371B91">
      <w:pPr>
        <w:pStyle w:val="Textoindependiente"/>
        <w:numPr>
          <w:ilvl w:val="0"/>
          <w:numId w:val="23"/>
        </w:numPr>
        <w:tabs>
          <w:tab w:val="clear" w:pos="360"/>
          <w:tab w:val="left" w:pos="-2340"/>
          <w:tab w:val="num" w:pos="720"/>
        </w:tabs>
        <w:spacing w:after="0"/>
        <w:ind w:left="567" w:hanging="567"/>
        <w:jc w:val="both"/>
        <w:rPr>
          <w:rFonts w:ascii="Tahoma" w:hAnsi="Tahoma" w:cs="Tahoma"/>
          <w:sz w:val="20"/>
          <w:szCs w:val="20"/>
        </w:rPr>
      </w:pPr>
      <w:r w:rsidRPr="00371B91">
        <w:rPr>
          <w:rFonts w:ascii="Tahoma" w:hAnsi="Tahoma" w:cs="Tahoma"/>
          <w:sz w:val="20"/>
          <w:szCs w:val="20"/>
        </w:rPr>
        <w:lastRenderedPageBreak/>
        <w:t xml:space="preserve">Con escritos presentados el 22 y subsanado el 23 de marzo de 2011, el representante legal del Postor presentó su escrito de descargos, manifestando lo siguiente: </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numPr>
          <w:ilvl w:val="0"/>
          <w:numId w:val="36"/>
        </w:numPr>
        <w:tabs>
          <w:tab w:val="left" w:pos="-2340"/>
        </w:tabs>
        <w:spacing w:after="0"/>
        <w:jc w:val="both"/>
        <w:rPr>
          <w:rFonts w:ascii="Tahoma" w:hAnsi="Tahoma" w:cs="Tahoma"/>
          <w:sz w:val="20"/>
          <w:szCs w:val="20"/>
        </w:rPr>
      </w:pPr>
      <w:r w:rsidRPr="00371B91">
        <w:rPr>
          <w:rFonts w:ascii="Tahoma" w:hAnsi="Tahoma" w:cs="Tahoma"/>
          <w:sz w:val="20"/>
          <w:szCs w:val="20"/>
        </w:rPr>
        <w:t>Que, la denominación de las Bases, se desprende que el objeto del proceso de selección sería la Elaboración de Expediente Técnico para la Renovación del Sistema de Desagüe del Edificio Principal de la Entidad, razón por la cual si el objeto de la convocatoria era la consultoría de obra, circunstancia que ameritaba que mi representaba tenga inscripción vigente en el Registro Nacional de Proveedores, correspondiente al Capítulo de Consultores de Obras.</w:t>
      </w:r>
    </w:p>
    <w:p w:rsidR="00371B91" w:rsidRPr="00371B91" w:rsidRDefault="00371B91" w:rsidP="00371B91">
      <w:pPr>
        <w:pStyle w:val="Textoindependiente"/>
        <w:tabs>
          <w:tab w:val="left" w:pos="-2340"/>
        </w:tabs>
        <w:spacing w:after="0"/>
        <w:ind w:left="1287"/>
        <w:jc w:val="both"/>
        <w:rPr>
          <w:rFonts w:ascii="Tahoma" w:hAnsi="Tahoma" w:cs="Tahoma"/>
          <w:sz w:val="20"/>
          <w:szCs w:val="20"/>
        </w:rPr>
      </w:pPr>
    </w:p>
    <w:p w:rsidR="00371B91" w:rsidRPr="00371B91" w:rsidRDefault="00371B91" w:rsidP="00371B91">
      <w:pPr>
        <w:pStyle w:val="Textoindependiente"/>
        <w:numPr>
          <w:ilvl w:val="0"/>
          <w:numId w:val="36"/>
        </w:numPr>
        <w:tabs>
          <w:tab w:val="left" w:pos="-2340"/>
        </w:tabs>
        <w:spacing w:after="0"/>
        <w:jc w:val="both"/>
        <w:rPr>
          <w:rFonts w:ascii="Tahoma" w:hAnsi="Tahoma" w:cs="Tahoma"/>
          <w:sz w:val="20"/>
          <w:szCs w:val="20"/>
        </w:rPr>
      </w:pPr>
      <w:r w:rsidRPr="00371B91">
        <w:rPr>
          <w:rFonts w:ascii="Tahoma" w:hAnsi="Tahoma" w:cs="Tahoma"/>
          <w:sz w:val="20"/>
          <w:szCs w:val="20"/>
        </w:rPr>
        <w:t>Que, se entiende por consultor de obra a la persona natural o jurídica que presta servicios profesionales consistente en la elaboración de expedientes técnicos, así como en la supervisión de obras, por lo tanto para efectos del desarrollo de los procesos de selección, sólo podrían considerarse como consultoría de obras, aquellas que consistan en la elaboración de un “expediente técnico”, es por cuya razón decidimos participar en el proceso de selección para el referido proyecto ya que contábamos con Registro Nacional de Proveedores vigente para la consultoría de obras. (sic)</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numPr>
          <w:ilvl w:val="0"/>
          <w:numId w:val="36"/>
        </w:numPr>
        <w:tabs>
          <w:tab w:val="left" w:pos="-2340"/>
        </w:tabs>
        <w:spacing w:after="0"/>
        <w:jc w:val="both"/>
        <w:rPr>
          <w:rFonts w:ascii="Tahoma" w:hAnsi="Tahoma" w:cs="Tahoma"/>
          <w:sz w:val="20"/>
          <w:szCs w:val="20"/>
        </w:rPr>
      </w:pPr>
      <w:r w:rsidRPr="00371B91">
        <w:rPr>
          <w:rFonts w:ascii="Tahoma" w:hAnsi="Tahoma" w:cs="Tahoma"/>
          <w:sz w:val="20"/>
          <w:szCs w:val="20"/>
        </w:rPr>
        <w:t>Que, la Entidad no incluyó dentro del proceso de selección la etapa de presentación y/o formulación de consultas, a fin que mi representada realice las consultas necesarias respecto a cualquier extremo de las Bases, circunstancia que hubiera evitado que la Entidad viole las  normas de orden público que eran de observancia obligatoria. (sic)</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numPr>
          <w:ilvl w:val="0"/>
          <w:numId w:val="36"/>
        </w:numPr>
        <w:tabs>
          <w:tab w:val="left" w:pos="-2340"/>
        </w:tabs>
        <w:spacing w:after="0"/>
        <w:jc w:val="both"/>
        <w:rPr>
          <w:rFonts w:ascii="Tahoma" w:hAnsi="Tahoma" w:cs="Tahoma"/>
          <w:sz w:val="20"/>
          <w:szCs w:val="20"/>
        </w:rPr>
      </w:pPr>
      <w:r w:rsidRPr="00371B91">
        <w:rPr>
          <w:rFonts w:ascii="Tahoma" w:hAnsi="Tahoma" w:cs="Tahoma"/>
          <w:sz w:val="20"/>
          <w:szCs w:val="20"/>
        </w:rPr>
        <w:t>Por último, solicitó que se tome en consideración que mi representada no tiene antecedentes en la comisión de infracciones, así como los principios de razonabilidad y proporcionalidad, razón por la cual nos oponemos a una sanción desmedida, exagerada e irracional. (sic)</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numPr>
          <w:ilvl w:val="0"/>
          <w:numId w:val="23"/>
        </w:numPr>
        <w:tabs>
          <w:tab w:val="clear" w:pos="360"/>
          <w:tab w:val="left" w:pos="-2340"/>
          <w:tab w:val="num" w:pos="720"/>
        </w:tabs>
        <w:spacing w:after="0"/>
        <w:ind w:left="567" w:hanging="567"/>
        <w:jc w:val="both"/>
        <w:rPr>
          <w:rFonts w:ascii="Tahoma" w:hAnsi="Tahoma" w:cs="Tahoma"/>
          <w:sz w:val="20"/>
          <w:szCs w:val="20"/>
        </w:rPr>
      </w:pPr>
      <w:r w:rsidRPr="00371B91">
        <w:rPr>
          <w:rFonts w:ascii="Tahoma" w:hAnsi="Tahoma" w:cs="Tahoma"/>
          <w:sz w:val="20"/>
          <w:szCs w:val="20"/>
        </w:rPr>
        <w:t>Mediante decreto de fecha 28 de marzo de 2011, se tuvo por apersonado al Postor a la instancia administrativa, y se remitió el expediente a la Primera Sala del Tribunal para que resolviera.</w:t>
      </w:r>
    </w:p>
    <w:p w:rsidR="00371B91" w:rsidRPr="00371B91" w:rsidRDefault="00371B91" w:rsidP="00371B91">
      <w:pPr>
        <w:pStyle w:val="Textoindependiente"/>
        <w:tabs>
          <w:tab w:val="left" w:pos="-2340"/>
        </w:tabs>
        <w:spacing w:after="0"/>
        <w:ind w:left="567"/>
        <w:jc w:val="both"/>
        <w:rPr>
          <w:rFonts w:ascii="Tahoma" w:hAnsi="Tahoma" w:cs="Tahoma"/>
          <w:sz w:val="20"/>
          <w:szCs w:val="20"/>
        </w:rPr>
      </w:pPr>
    </w:p>
    <w:p w:rsidR="00371B91" w:rsidRPr="00371B91" w:rsidRDefault="00371B91" w:rsidP="00371B91">
      <w:pPr>
        <w:pStyle w:val="Textoindependiente"/>
        <w:numPr>
          <w:ilvl w:val="0"/>
          <w:numId w:val="23"/>
        </w:numPr>
        <w:tabs>
          <w:tab w:val="clear" w:pos="360"/>
          <w:tab w:val="left" w:pos="-2340"/>
          <w:tab w:val="num" w:pos="720"/>
        </w:tabs>
        <w:spacing w:after="0"/>
        <w:ind w:left="567" w:hanging="567"/>
        <w:jc w:val="both"/>
        <w:rPr>
          <w:rFonts w:ascii="Tahoma" w:hAnsi="Tahoma" w:cs="Tahoma"/>
          <w:sz w:val="20"/>
          <w:szCs w:val="20"/>
        </w:rPr>
      </w:pPr>
      <w:r w:rsidRPr="00371B91">
        <w:rPr>
          <w:rFonts w:ascii="Tahoma" w:hAnsi="Tahoma" w:cs="Tahoma"/>
          <w:sz w:val="20"/>
          <w:szCs w:val="20"/>
        </w:rPr>
        <w:t>Con decreto de fecha 10 de mayo de 2011, se requirió a la Sub Dirección del Registro Nacional de Proveedores se sirva indicar si el Postor contaba con inscripción vigente en el Registro Nacional de Proveedores durante el mes de septiembre de 2010, debiéndose remitir copia del record histórico de inscripción del referido Postor; otorgándole un plazo de un (01) día bajo responsabilidad y apercibimiento de resolver con la documentación obrante en autos.</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numPr>
          <w:ilvl w:val="0"/>
          <w:numId w:val="23"/>
        </w:numPr>
        <w:tabs>
          <w:tab w:val="clear" w:pos="360"/>
          <w:tab w:val="left" w:pos="-2340"/>
          <w:tab w:val="num" w:pos="720"/>
          <w:tab w:val="left" w:pos="4320"/>
        </w:tabs>
        <w:spacing w:after="0"/>
        <w:ind w:left="567" w:hanging="567"/>
        <w:jc w:val="both"/>
        <w:rPr>
          <w:rFonts w:ascii="Tahoma" w:hAnsi="Tahoma" w:cs="Tahoma"/>
          <w:b/>
          <w:bCs/>
          <w:sz w:val="20"/>
          <w:szCs w:val="20"/>
        </w:rPr>
      </w:pPr>
      <w:r w:rsidRPr="00371B91">
        <w:rPr>
          <w:rFonts w:ascii="Tahoma" w:hAnsi="Tahoma" w:cs="Tahoma"/>
          <w:sz w:val="20"/>
          <w:szCs w:val="20"/>
        </w:rPr>
        <w:t>A través del Memorando № 568-2011/SREG/HCS de fecha 12 de mayo de 2011, recibido el mismo día, mes y año, la Sub Dirección del Registro Nacional de Proveedores señaló que el Postor en el Registro de Consultores de obra contaba con inscripción vigente durante todo el mes de septiembre de 2010.</w:t>
      </w:r>
    </w:p>
    <w:p w:rsidR="006F04D1" w:rsidRPr="00371B91" w:rsidRDefault="006F04D1" w:rsidP="006F04D1">
      <w:pPr>
        <w:pStyle w:val="Prrafodelista"/>
        <w:rPr>
          <w:rFonts w:ascii="Tahoma" w:hAnsi="Tahoma" w:cs="Tahoma"/>
        </w:rPr>
      </w:pPr>
    </w:p>
    <w:p w:rsidR="00CB54EC" w:rsidRPr="00371B91" w:rsidRDefault="00CB54EC" w:rsidP="00CB54EC">
      <w:pPr>
        <w:pStyle w:val="Textoindependiente"/>
        <w:tabs>
          <w:tab w:val="left" w:pos="-2340"/>
          <w:tab w:val="left" w:pos="540"/>
        </w:tabs>
        <w:spacing w:after="0"/>
        <w:ind w:left="180" w:hanging="180"/>
        <w:jc w:val="both"/>
        <w:rPr>
          <w:rFonts w:ascii="Tahoma" w:hAnsi="Tahoma" w:cs="Tahoma"/>
          <w:b/>
          <w:sz w:val="20"/>
          <w:szCs w:val="20"/>
        </w:rPr>
      </w:pPr>
      <w:r w:rsidRPr="00371B91">
        <w:rPr>
          <w:rFonts w:ascii="Tahoma" w:hAnsi="Tahoma" w:cs="Tahoma"/>
          <w:b/>
          <w:sz w:val="20"/>
          <w:szCs w:val="20"/>
        </w:rPr>
        <w:tab/>
      </w:r>
      <w:r w:rsidRPr="00371B91">
        <w:rPr>
          <w:rFonts w:ascii="Tahoma" w:hAnsi="Tahoma" w:cs="Tahoma"/>
          <w:b/>
          <w:sz w:val="20"/>
          <w:szCs w:val="20"/>
        </w:rPr>
        <w:tab/>
        <w:t>FUNDAMENTACIÓN:</w:t>
      </w:r>
    </w:p>
    <w:p w:rsidR="00CB54EC" w:rsidRPr="00371B91" w:rsidRDefault="00CB54EC" w:rsidP="00CB54EC">
      <w:pPr>
        <w:pStyle w:val="Sangradetextonormal"/>
        <w:spacing w:after="0"/>
        <w:ind w:left="0"/>
        <w:jc w:val="both"/>
        <w:rPr>
          <w:rFonts w:ascii="Tahoma" w:hAnsi="Tahoma" w:cs="Tahoma"/>
          <w:sz w:val="20"/>
          <w:szCs w:val="20"/>
        </w:rPr>
      </w:pPr>
    </w:p>
    <w:p w:rsidR="00371B91" w:rsidRPr="00371B91" w:rsidRDefault="00371B91" w:rsidP="00371B91">
      <w:pPr>
        <w:pStyle w:val="Prrafodelista"/>
        <w:numPr>
          <w:ilvl w:val="0"/>
          <w:numId w:val="37"/>
        </w:numPr>
        <w:tabs>
          <w:tab w:val="clear" w:pos="360"/>
          <w:tab w:val="num" w:pos="567"/>
        </w:tabs>
        <w:ind w:left="567" w:hanging="567"/>
        <w:jc w:val="both"/>
        <w:rPr>
          <w:rFonts w:ascii="Tahoma" w:hAnsi="Tahoma" w:cs="Tahoma"/>
        </w:rPr>
      </w:pPr>
      <w:r w:rsidRPr="00371B91">
        <w:rPr>
          <w:rFonts w:ascii="Tahoma" w:hAnsi="Tahoma" w:cs="Tahoma"/>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371B91" w:rsidRPr="00371B91" w:rsidRDefault="00371B91" w:rsidP="00371B91">
      <w:pPr>
        <w:pStyle w:val="Prrafodelista"/>
        <w:ind w:left="567"/>
        <w:jc w:val="both"/>
        <w:rPr>
          <w:rFonts w:ascii="Tahoma" w:hAnsi="Tahoma" w:cs="Tahoma"/>
        </w:rPr>
      </w:pPr>
    </w:p>
    <w:p w:rsidR="00371B91" w:rsidRPr="00371B91" w:rsidRDefault="00371B91" w:rsidP="00371B91">
      <w:pPr>
        <w:pStyle w:val="Prrafodelista"/>
        <w:widowControl w:val="0"/>
        <w:numPr>
          <w:ilvl w:val="0"/>
          <w:numId w:val="37"/>
        </w:numPr>
        <w:tabs>
          <w:tab w:val="clear" w:pos="360"/>
          <w:tab w:val="num" w:pos="567"/>
          <w:tab w:val="left" w:pos="709"/>
        </w:tabs>
        <w:suppressAutoHyphens/>
        <w:ind w:left="567" w:hanging="567"/>
        <w:jc w:val="both"/>
        <w:rPr>
          <w:rFonts w:ascii="Tahoma" w:hAnsi="Tahoma" w:cs="Tahoma"/>
        </w:rPr>
      </w:pPr>
      <w:r w:rsidRPr="00371B91">
        <w:rPr>
          <w:rFonts w:ascii="Tahoma" w:hAnsi="Tahoma" w:cs="Tahoma"/>
          <w:lang w:val="es-PE"/>
        </w:rPr>
        <w:t>El presente procedimiento administrativo está referido a la supuesta responsabilidad del Postor</w:t>
      </w:r>
      <w:r w:rsidRPr="00371B91">
        <w:rPr>
          <w:rFonts w:ascii="Tahoma" w:hAnsi="Tahoma" w:cs="Tahoma"/>
        </w:rPr>
        <w:t>,</w:t>
      </w:r>
      <w:r w:rsidRPr="00371B91">
        <w:rPr>
          <w:rFonts w:ascii="Tahoma" w:hAnsi="Tahoma" w:cs="Tahoma"/>
          <w:lang w:val="es-PE"/>
        </w:rPr>
        <w:t xml:space="preserve"> </w:t>
      </w:r>
      <w:r w:rsidRPr="00371B91">
        <w:rPr>
          <w:rFonts w:ascii="Tahoma" w:hAnsi="Tahoma" w:cs="Tahoma"/>
        </w:rPr>
        <w:t>por haber participado en el proceso de selección por Competencia Menor № CME-0097-2010-OFP/PETROPERU</w:t>
      </w:r>
      <w:r w:rsidRPr="00371B91">
        <w:rPr>
          <w:rFonts w:ascii="Tahoma" w:hAnsi="Tahoma" w:cs="Tahoma"/>
          <w:spacing w:val="-2"/>
        </w:rPr>
        <w:t xml:space="preserve">, </w:t>
      </w:r>
      <w:r w:rsidRPr="00371B91">
        <w:rPr>
          <w:rFonts w:ascii="Tahoma" w:hAnsi="Tahoma" w:cs="Tahoma"/>
        </w:rPr>
        <w:t>sin contar con inscripción vigente en el Registro Nacional de Proveedores.</w:t>
      </w:r>
    </w:p>
    <w:p w:rsidR="00371B91" w:rsidRPr="00371B91" w:rsidRDefault="00371B91" w:rsidP="00371B91">
      <w:pPr>
        <w:pStyle w:val="Textoindependiente"/>
        <w:widowControl w:val="0"/>
        <w:tabs>
          <w:tab w:val="left" w:pos="709"/>
        </w:tabs>
        <w:suppressAutoHyphens/>
        <w:spacing w:after="0"/>
        <w:ind w:left="567"/>
        <w:jc w:val="both"/>
        <w:rPr>
          <w:rFonts w:ascii="Tahoma" w:hAnsi="Tahoma" w:cs="Tahoma"/>
          <w:sz w:val="20"/>
          <w:szCs w:val="20"/>
        </w:rPr>
      </w:pPr>
    </w:p>
    <w:p w:rsidR="00371B91" w:rsidRPr="00371B91" w:rsidRDefault="00371B91" w:rsidP="00371B91">
      <w:pPr>
        <w:pStyle w:val="Textoindependiente"/>
        <w:widowControl w:val="0"/>
        <w:numPr>
          <w:ilvl w:val="0"/>
          <w:numId w:val="37"/>
        </w:numPr>
        <w:tabs>
          <w:tab w:val="clear" w:pos="360"/>
          <w:tab w:val="left" w:pos="709"/>
        </w:tabs>
        <w:suppressAutoHyphens/>
        <w:spacing w:after="0"/>
        <w:ind w:left="567" w:hanging="567"/>
        <w:jc w:val="both"/>
        <w:rPr>
          <w:rFonts w:ascii="Tahoma" w:hAnsi="Tahoma" w:cs="Tahoma"/>
          <w:sz w:val="20"/>
          <w:szCs w:val="20"/>
        </w:rPr>
      </w:pPr>
      <w:r w:rsidRPr="00371B91">
        <w:rPr>
          <w:rFonts w:ascii="Tahoma" w:hAnsi="Tahoma" w:cs="Tahoma"/>
          <w:color w:val="000000"/>
          <w:sz w:val="20"/>
          <w:szCs w:val="20"/>
          <w:lang w:val="es-ES_tradnl"/>
        </w:rPr>
        <w:t>Habiéndose advertido que el presente proceso deviene de un proceso de selección por Competencia Menor resulta pertinente evaluar el marco normativo que rige el citado proceso, a fin de determinar la competencia este Tribunal en la denuncia que nos ocupa.</w:t>
      </w:r>
    </w:p>
    <w:p w:rsidR="00371B91" w:rsidRPr="00371B91" w:rsidRDefault="00371B91" w:rsidP="00371B91">
      <w:pPr>
        <w:pStyle w:val="Prrafodelista"/>
        <w:rPr>
          <w:rFonts w:ascii="Tahoma" w:hAnsi="Tahoma" w:cs="Tahoma"/>
          <w:lang w:eastAsia="en-US"/>
        </w:rPr>
      </w:pPr>
    </w:p>
    <w:p w:rsidR="00371B91" w:rsidRPr="00371B91" w:rsidRDefault="00371B91" w:rsidP="00371B91">
      <w:pPr>
        <w:pStyle w:val="Textoindependiente"/>
        <w:widowControl w:val="0"/>
        <w:numPr>
          <w:ilvl w:val="0"/>
          <w:numId w:val="37"/>
        </w:numPr>
        <w:tabs>
          <w:tab w:val="clear" w:pos="360"/>
          <w:tab w:val="left" w:pos="709"/>
        </w:tabs>
        <w:suppressAutoHyphens/>
        <w:spacing w:after="0"/>
        <w:ind w:left="567" w:hanging="567"/>
        <w:jc w:val="both"/>
        <w:rPr>
          <w:rFonts w:ascii="Tahoma" w:hAnsi="Tahoma" w:cs="Tahoma"/>
          <w:sz w:val="20"/>
          <w:szCs w:val="20"/>
        </w:rPr>
      </w:pPr>
      <w:r w:rsidRPr="00371B91">
        <w:rPr>
          <w:rFonts w:ascii="Tahoma" w:hAnsi="Tahoma" w:cs="Tahoma"/>
          <w:sz w:val="20"/>
          <w:szCs w:val="20"/>
          <w:lang w:eastAsia="en-US"/>
        </w:rPr>
        <w:t xml:space="preserve">Así, pues, </w:t>
      </w:r>
      <w:r w:rsidRPr="00371B91">
        <w:rPr>
          <w:rFonts w:ascii="Tahoma" w:hAnsi="Tahoma" w:cs="Tahoma"/>
          <w:sz w:val="20"/>
          <w:szCs w:val="20"/>
          <w:lang w:val="es-PE" w:eastAsia="en-US"/>
        </w:rPr>
        <w:t>mediante Resolución № 523-2009-OSCE/PRE</w:t>
      </w:r>
      <w:r w:rsidRPr="00371B91">
        <w:rPr>
          <w:rFonts w:ascii="Tahoma" w:hAnsi="Tahoma" w:cs="Tahoma"/>
          <w:sz w:val="20"/>
          <w:szCs w:val="20"/>
          <w:vertAlign w:val="superscript"/>
          <w:lang w:val="es-PE"/>
        </w:rPr>
        <w:footnoteReference w:id="2"/>
      </w:r>
      <w:r w:rsidRPr="00371B91">
        <w:rPr>
          <w:rFonts w:ascii="Tahoma" w:hAnsi="Tahoma" w:cs="Tahoma"/>
          <w:sz w:val="20"/>
          <w:szCs w:val="20"/>
          <w:lang w:val="es-PE"/>
        </w:rPr>
        <w:t xml:space="preserve"> se aprobó el Reglamento de Contrataciones de Petróleos del Perú S.A., en adelante el Reglamento de </w:t>
      </w:r>
      <w:r w:rsidRPr="00371B91">
        <w:rPr>
          <w:rFonts w:ascii="Tahoma" w:hAnsi="Tahoma" w:cs="Tahoma"/>
          <w:sz w:val="20"/>
          <w:szCs w:val="20"/>
          <w:lang w:val="es-PE" w:eastAsia="en-US"/>
        </w:rPr>
        <w:t>Petroperú</w:t>
      </w:r>
      <w:r w:rsidRPr="00371B91">
        <w:rPr>
          <w:rFonts w:ascii="Tahoma" w:hAnsi="Tahoma" w:cs="Tahoma"/>
          <w:sz w:val="20"/>
          <w:szCs w:val="20"/>
          <w:lang w:val="es-PE"/>
        </w:rPr>
        <w:t>, el cual tiene como objetivo regular de manera integral y uniforme los procedimientos de adquisiciones de bienes y contrataciones de servicios y obras necesarios para el cumplimiento del objeto social de PETROPERÚ.</w:t>
      </w:r>
    </w:p>
    <w:p w:rsidR="00371B91" w:rsidRPr="00371B91" w:rsidRDefault="00371B91" w:rsidP="00371B91">
      <w:pPr>
        <w:pStyle w:val="Prrafodelista"/>
        <w:rPr>
          <w:rFonts w:ascii="Tahoma" w:hAnsi="Tahoma" w:cs="Tahoma"/>
          <w:lang w:val="es-PE" w:eastAsia="en-US"/>
        </w:rPr>
      </w:pPr>
    </w:p>
    <w:p w:rsidR="00371B91" w:rsidRPr="00371B91" w:rsidRDefault="00371B91" w:rsidP="00371B91">
      <w:pPr>
        <w:pStyle w:val="Textoindependiente"/>
        <w:widowControl w:val="0"/>
        <w:numPr>
          <w:ilvl w:val="0"/>
          <w:numId w:val="37"/>
        </w:numPr>
        <w:tabs>
          <w:tab w:val="clear" w:pos="360"/>
          <w:tab w:val="left" w:pos="709"/>
        </w:tabs>
        <w:suppressAutoHyphens/>
        <w:spacing w:after="0"/>
        <w:ind w:left="567" w:hanging="567"/>
        <w:jc w:val="both"/>
        <w:rPr>
          <w:rFonts w:ascii="Tahoma" w:hAnsi="Tahoma" w:cs="Tahoma"/>
          <w:sz w:val="20"/>
          <w:szCs w:val="20"/>
        </w:rPr>
      </w:pPr>
      <w:r w:rsidRPr="00371B91">
        <w:rPr>
          <w:rFonts w:ascii="Tahoma" w:hAnsi="Tahoma" w:cs="Tahoma"/>
          <w:sz w:val="20"/>
          <w:szCs w:val="20"/>
          <w:lang w:val="es-PE" w:eastAsia="en-US"/>
        </w:rPr>
        <w:t xml:space="preserve">En ese sentido, el numeral 5.12 del aludido Reglamento de Petroperú, </w:t>
      </w:r>
      <w:r w:rsidRPr="00371B91">
        <w:rPr>
          <w:rFonts w:ascii="Tahoma" w:hAnsi="Tahoma" w:cs="Tahoma"/>
          <w:sz w:val="20"/>
          <w:szCs w:val="20"/>
          <w:lang w:val="es-ES_tradnl"/>
        </w:rPr>
        <w:t xml:space="preserve">dispone que con relación al Registro Nacional de Proveedores (RNP), Sistema Electrónico de Contrataciones del Estado (SEACE), recursos de impugnación y </w:t>
      </w:r>
      <w:r w:rsidRPr="00371B91">
        <w:rPr>
          <w:rFonts w:ascii="Tahoma" w:hAnsi="Tahoma" w:cs="Tahoma"/>
          <w:b/>
          <w:sz w:val="20"/>
          <w:szCs w:val="20"/>
          <w:lang w:val="es-ES_tradnl"/>
        </w:rPr>
        <w:t xml:space="preserve">procedimientos administrativos sancionadores que se tramitan ante el Tribunal de Contrataciones del Estado, </w:t>
      </w:r>
      <w:r w:rsidRPr="00371B91">
        <w:rPr>
          <w:rFonts w:ascii="Tahoma" w:hAnsi="Tahoma" w:cs="Tahoma"/>
          <w:sz w:val="20"/>
          <w:szCs w:val="20"/>
          <w:lang w:val="es-ES_tradnl"/>
        </w:rPr>
        <w:t>será de aplicación el Decreto Legislativo № 1017, Ley de Contrataciones del Estado y su Reglamento aprobado por Decreto Supremo № 184-2008-EF.</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widowControl w:val="0"/>
        <w:tabs>
          <w:tab w:val="left" w:pos="709"/>
        </w:tabs>
        <w:suppressAutoHyphens/>
        <w:spacing w:after="0"/>
        <w:ind w:left="567"/>
        <w:jc w:val="both"/>
        <w:rPr>
          <w:rFonts w:ascii="Tahoma" w:hAnsi="Tahoma" w:cs="Tahoma"/>
          <w:sz w:val="20"/>
          <w:szCs w:val="20"/>
        </w:rPr>
      </w:pPr>
      <w:r w:rsidRPr="00371B91">
        <w:rPr>
          <w:rFonts w:ascii="Tahoma" w:hAnsi="Tahoma" w:cs="Tahoma"/>
          <w:sz w:val="20"/>
          <w:szCs w:val="20"/>
        </w:rPr>
        <w:t>En efecto, el mencionado dispositivo legal obliga a la Entidad (PETROPERU) a poner en conocimiento del Tribunal los hechos que den lugar a sanción de acuerdo con las causales previstas en el Decreto Legislativo 1017, Ley de Contrataciones del Estado.</w:t>
      </w:r>
    </w:p>
    <w:p w:rsidR="00371B91" w:rsidRPr="00371B91" w:rsidRDefault="00371B91" w:rsidP="00371B91">
      <w:pPr>
        <w:pStyle w:val="Textoindependiente"/>
        <w:widowControl w:val="0"/>
        <w:tabs>
          <w:tab w:val="left" w:pos="709"/>
        </w:tabs>
        <w:suppressAutoHyphens/>
        <w:spacing w:after="0"/>
        <w:ind w:left="567"/>
        <w:jc w:val="both"/>
        <w:rPr>
          <w:rFonts w:ascii="Tahoma" w:hAnsi="Tahoma" w:cs="Tahoma"/>
          <w:sz w:val="20"/>
          <w:szCs w:val="20"/>
        </w:rPr>
      </w:pPr>
    </w:p>
    <w:p w:rsidR="00371B91" w:rsidRPr="00371B91" w:rsidRDefault="00371B91" w:rsidP="00371B91">
      <w:pPr>
        <w:pStyle w:val="Textoindependiente"/>
        <w:widowControl w:val="0"/>
        <w:numPr>
          <w:ilvl w:val="0"/>
          <w:numId w:val="37"/>
        </w:numPr>
        <w:tabs>
          <w:tab w:val="clear" w:pos="360"/>
          <w:tab w:val="left" w:pos="709"/>
        </w:tabs>
        <w:suppressAutoHyphens/>
        <w:spacing w:after="0"/>
        <w:ind w:left="567" w:hanging="567"/>
        <w:jc w:val="both"/>
        <w:rPr>
          <w:rFonts w:ascii="Tahoma" w:hAnsi="Tahoma" w:cs="Tahoma"/>
          <w:sz w:val="20"/>
          <w:szCs w:val="20"/>
        </w:rPr>
      </w:pPr>
      <w:r w:rsidRPr="00371B91">
        <w:rPr>
          <w:rFonts w:ascii="Tahoma" w:hAnsi="Tahoma" w:cs="Tahoma"/>
          <w:sz w:val="20"/>
          <w:szCs w:val="20"/>
          <w:lang w:val="es-ES_tradnl"/>
        </w:rPr>
        <w:t>Por estas consideraciones</w:t>
      </w:r>
      <w:r w:rsidRPr="00371B91">
        <w:rPr>
          <w:rFonts w:ascii="Tahoma" w:hAnsi="Tahoma" w:cs="Tahoma"/>
          <w:sz w:val="20"/>
          <w:szCs w:val="20"/>
        </w:rPr>
        <w:t xml:space="preserve">, el Tribunal es el órgano que tiene a su cargo el conocimiento y resolución de los procedimientos de imposición de sanción de inhabilitación temporal o definitiva para contratar con el Estado, en los casos expresamente tipificados en el artículo </w:t>
      </w:r>
      <w:r w:rsidRPr="00371B91">
        <w:rPr>
          <w:rFonts w:ascii="Tahoma" w:hAnsi="Tahoma" w:cs="Tahoma"/>
          <w:sz w:val="20"/>
          <w:szCs w:val="20"/>
          <w:lang w:val="es-MX"/>
        </w:rPr>
        <w:t>51 y 52 de la Ley de Contrataciones del Estado,</w:t>
      </w:r>
      <w:r w:rsidRPr="00371B91">
        <w:rPr>
          <w:rFonts w:ascii="Tahoma" w:hAnsi="Tahoma" w:cs="Tahoma"/>
          <w:sz w:val="20"/>
          <w:szCs w:val="20"/>
        </w:rPr>
        <w:t xml:space="preserve"> aprobada mediante Decreto Legislativo № 1017,</w:t>
      </w:r>
      <w:r w:rsidRPr="00371B91">
        <w:rPr>
          <w:rFonts w:ascii="Tahoma" w:hAnsi="Tahoma" w:cs="Tahoma"/>
          <w:sz w:val="20"/>
          <w:szCs w:val="20"/>
          <w:lang w:val="es-MX"/>
        </w:rPr>
        <w:t xml:space="preserve"> </w:t>
      </w:r>
      <w:r w:rsidRPr="00371B91">
        <w:rPr>
          <w:rFonts w:ascii="Tahoma" w:eastAsia="MS Mincho" w:hAnsi="Tahoma" w:cs="Tahoma"/>
          <w:sz w:val="20"/>
          <w:szCs w:val="20"/>
        </w:rPr>
        <w:t>en adelante la Ley</w:t>
      </w:r>
      <w:r w:rsidRPr="00371B91">
        <w:rPr>
          <w:rFonts w:ascii="Tahoma" w:hAnsi="Tahoma" w:cs="Tahoma"/>
          <w:sz w:val="20"/>
          <w:szCs w:val="20"/>
        </w:rPr>
        <w:t>, norma aplicable al momento de la presunta comisión de la infracción</w:t>
      </w:r>
      <w:r w:rsidRPr="00371B91">
        <w:rPr>
          <w:rFonts w:ascii="Tahoma" w:hAnsi="Tahoma" w:cs="Tahoma"/>
          <w:sz w:val="20"/>
          <w:szCs w:val="20"/>
          <w:lang w:val="es-MX"/>
        </w:rPr>
        <w:t xml:space="preserve">, y en los casos expresamente previstos en el artículo 237 de su Reglamento, aprobado mediante Decreto Supremo </w:t>
      </w:r>
      <w:r w:rsidRPr="00371B91">
        <w:rPr>
          <w:rFonts w:ascii="Tahoma" w:hAnsi="Tahoma" w:cs="Tahoma"/>
          <w:sz w:val="20"/>
          <w:szCs w:val="20"/>
        </w:rPr>
        <w:t xml:space="preserve">№ 184-2008-EF, </w:t>
      </w:r>
      <w:r w:rsidRPr="00371B91">
        <w:rPr>
          <w:rFonts w:ascii="Tahoma" w:eastAsia="MS Mincho" w:hAnsi="Tahoma" w:cs="Tahoma"/>
          <w:sz w:val="20"/>
          <w:szCs w:val="20"/>
        </w:rPr>
        <w:t>en adelante el Reglamento</w:t>
      </w:r>
      <w:r w:rsidRPr="00371B91">
        <w:rPr>
          <w:rFonts w:ascii="Tahoma" w:hAnsi="Tahoma" w:cs="Tahoma"/>
          <w:sz w:val="20"/>
          <w:szCs w:val="20"/>
        </w:rPr>
        <w:t xml:space="preserve">, </w:t>
      </w:r>
      <w:r w:rsidRPr="00371B91">
        <w:rPr>
          <w:rFonts w:ascii="Tahoma" w:hAnsi="Tahoma" w:cs="Tahoma"/>
          <w:sz w:val="20"/>
          <w:szCs w:val="20"/>
          <w:lang w:val="es-MX"/>
        </w:rPr>
        <w:t>sin perjuicio de las acciones legales que correspondan adoptar a las Entidades, dentro de sus respectivas atribuciones, en salvaguarda de sus intereses</w:t>
      </w:r>
      <w:r w:rsidRPr="00371B91">
        <w:rPr>
          <w:rFonts w:ascii="Tahoma" w:hAnsi="Tahoma" w:cs="Tahoma"/>
          <w:sz w:val="20"/>
          <w:szCs w:val="20"/>
        </w:rPr>
        <w:t>.</w:t>
      </w:r>
    </w:p>
    <w:p w:rsidR="00371B91" w:rsidRPr="00371B91" w:rsidRDefault="00371B91" w:rsidP="00371B91">
      <w:pPr>
        <w:pStyle w:val="Textoindependiente"/>
        <w:widowControl w:val="0"/>
        <w:tabs>
          <w:tab w:val="left" w:pos="709"/>
        </w:tabs>
        <w:suppressAutoHyphens/>
        <w:spacing w:after="0"/>
        <w:ind w:left="567"/>
        <w:jc w:val="both"/>
        <w:rPr>
          <w:rFonts w:ascii="Tahoma" w:hAnsi="Tahoma" w:cs="Tahoma"/>
          <w:sz w:val="20"/>
          <w:szCs w:val="20"/>
        </w:rPr>
      </w:pPr>
    </w:p>
    <w:p w:rsidR="00371B91" w:rsidRPr="00371B91" w:rsidRDefault="00371B91" w:rsidP="00371B91">
      <w:pPr>
        <w:pStyle w:val="Textoindependiente"/>
        <w:widowControl w:val="0"/>
        <w:numPr>
          <w:ilvl w:val="0"/>
          <w:numId w:val="37"/>
        </w:numPr>
        <w:tabs>
          <w:tab w:val="clear" w:pos="360"/>
          <w:tab w:val="left" w:pos="709"/>
        </w:tabs>
        <w:suppressAutoHyphens/>
        <w:spacing w:after="0"/>
        <w:ind w:left="567" w:hanging="567"/>
        <w:jc w:val="both"/>
        <w:rPr>
          <w:rFonts w:ascii="Tahoma" w:hAnsi="Tahoma" w:cs="Tahoma"/>
          <w:sz w:val="20"/>
          <w:szCs w:val="20"/>
        </w:rPr>
      </w:pPr>
      <w:r w:rsidRPr="00371B91">
        <w:rPr>
          <w:rFonts w:ascii="Tahoma" w:hAnsi="Tahoma" w:cs="Tahoma"/>
          <w:sz w:val="20"/>
          <w:szCs w:val="20"/>
          <w:lang w:val="es-ES_tradnl"/>
        </w:rPr>
        <w:t>En ese sentido, este Colegiado resulta</w:t>
      </w:r>
      <w:r w:rsidRPr="00371B91">
        <w:rPr>
          <w:rFonts w:ascii="Tahoma" w:hAnsi="Tahoma" w:cs="Tahoma"/>
          <w:b/>
          <w:sz w:val="20"/>
          <w:szCs w:val="20"/>
          <w:lang w:val="es-ES_tradnl"/>
        </w:rPr>
        <w:t xml:space="preserve"> </w:t>
      </w:r>
      <w:r w:rsidRPr="00371B91">
        <w:rPr>
          <w:rFonts w:ascii="Tahoma" w:hAnsi="Tahoma" w:cs="Tahoma"/>
          <w:sz w:val="20"/>
          <w:szCs w:val="20"/>
          <w:lang w:val="es-PE"/>
        </w:rPr>
        <w:t>competente para pronunciarse sobre la supuesta responsabilidad del Postor,</w:t>
      </w:r>
      <w:r w:rsidRPr="00371B91">
        <w:rPr>
          <w:rFonts w:ascii="Tahoma" w:hAnsi="Tahoma" w:cs="Tahoma"/>
          <w:sz w:val="20"/>
          <w:szCs w:val="20"/>
        </w:rPr>
        <w:t xml:space="preserve"> por haber participado en la Competencia Menor № CME-0097-2010-OFP/PETROPERU sin contar con inscripción vigente en el Registro Nacional de </w:t>
      </w:r>
      <w:r w:rsidRPr="00371B91">
        <w:rPr>
          <w:rFonts w:ascii="Tahoma" w:hAnsi="Tahoma" w:cs="Tahoma"/>
          <w:sz w:val="20"/>
          <w:szCs w:val="20"/>
        </w:rPr>
        <w:lastRenderedPageBreak/>
        <w:t>Proveedores, infracción prevista en el</w:t>
      </w:r>
      <w:r w:rsidRPr="00371B91">
        <w:rPr>
          <w:rFonts w:ascii="Tahoma" w:eastAsia="MS Mincho" w:hAnsi="Tahoma" w:cs="Tahoma"/>
          <w:sz w:val="20"/>
          <w:szCs w:val="20"/>
        </w:rPr>
        <w:t xml:space="preserve"> literal e) del numeral 51.1 del artículo 51 de la Ley de Contrataciones del Estado, aprobado mediante Decreto Legislativo № 1017, y el literal e) del numeral 1 del artículo 237 del Reglamento de la Ley de Contrataciones del Estado, aprobado mediante Decreto Supremo Nº 184-2008-EF, </w:t>
      </w:r>
      <w:r w:rsidRPr="00371B91">
        <w:rPr>
          <w:rFonts w:ascii="Tahoma" w:hAnsi="Tahoma" w:cs="Tahoma"/>
          <w:sz w:val="20"/>
          <w:szCs w:val="20"/>
        </w:rPr>
        <w:t>normas vigente al momento de producirse los hechos imputados.</w:t>
      </w:r>
    </w:p>
    <w:p w:rsidR="00371B91" w:rsidRPr="00371B91" w:rsidRDefault="00371B91" w:rsidP="00371B91">
      <w:pPr>
        <w:pStyle w:val="Prrafodelista"/>
        <w:rPr>
          <w:rFonts w:ascii="Tahoma" w:hAnsi="Tahoma" w:cs="Tahoma"/>
          <w:lang w:val="es-PE"/>
        </w:rPr>
      </w:pPr>
    </w:p>
    <w:p w:rsidR="00371B91" w:rsidRPr="00371B91" w:rsidRDefault="00371B91" w:rsidP="00371B91">
      <w:pPr>
        <w:pStyle w:val="Textoindependiente"/>
        <w:widowControl w:val="0"/>
        <w:numPr>
          <w:ilvl w:val="0"/>
          <w:numId w:val="37"/>
        </w:numPr>
        <w:tabs>
          <w:tab w:val="clear" w:pos="360"/>
          <w:tab w:val="left" w:pos="709"/>
        </w:tabs>
        <w:suppressAutoHyphens/>
        <w:spacing w:after="0"/>
        <w:ind w:left="567" w:hanging="567"/>
        <w:jc w:val="both"/>
        <w:rPr>
          <w:rFonts w:ascii="Tahoma" w:hAnsi="Tahoma" w:cs="Tahoma"/>
          <w:sz w:val="20"/>
          <w:szCs w:val="20"/>
        </w:rPr>
      </w:pPr>
      <w:r w:rsidRPr="00371B91">
        <w:rPr>
          <w:rFonts w:ascii="Tahoma" w:hAnsi="Tahoma" w:cs="Tahoma"/>
          <w:sz w:val="20"/>
          <w:szCs w:val="20"/>
          <w:lang w:val="es-PE"/>
        </w:rPr>
        <w:t>En relación al asunto de fondo</w:t>
      </w:r>
      <w:r w:rsidRPr="00371B91">
        <w:rPr>
          <w:rFonts w:ascii="Tahoma" w:hAnsi="Tahoma" w:cs="Tahoma"/>
          <w:sz w:val="20"/>
          <w:szCs w:val="20"/>
        </w:rPr>
        <w:t>, debemos comenzar precisando que la infracción tipificada en el literal e) del numeral 51.1 del artículo 51 de la Ley, establece</w:t>
      </w:r>
      <w:r w:rsidRPr="00371B91">
        <w:rPr>
          <w:rFonts w:ascii="Tahoma" w:hAnsi="Tahoma" w:cs="Tahoma"/>
          <w:sz w:val="20"/>
          <w:szCs w:val="20"/>
          <w:lang w:val="es-MX"/>
        </w:rPr>
        <w:t xml:space="preserve"> </w:t>
      </w:r>
      <w:r w:rsidRPr="00371B91">
        <w:rPr>
          <w:rFonts w:ascii="Tahoma" w:hAnsi="Tahoma" w:cs="Tahoma"/>
          <w:sz w:val="20"/>
          <w:szCs w:val="20"/>
        </w:rPr>
        <w:t xml:space="preserve">que los proveedores, participantes, postores y/o contratistas incurrirán en infracción susceptible de sanción cuando </w:t>
      </w:r>
      <w:r w:rsidRPr="00371B91">
        <w:rPr>
          <w:rFonts w:ascii="Tahoma" w:hAnsi="Tahoma" w:cs="Tahoma"/>
          <w:sz w:val="20"/>
          <w:szCs w:val="20"/>
          <w:u w:val="single"/>
        </w:rPr>
        <w:t>participen</w:t>
      </w:r>
      <w:r w:rsidRPr="00371B91">
        <w:rPr>
          <w:rFonts w:ascii="Tahoma" w:hAnsi="Tahoma" w:cs="Tahoma"/>
          <w:sz w:val="20"/>
          <w:szCs w:val="20"/>
        </w:rPr>
        <w:t xml:space="preserve"> en procesos de selección o </w:t>
      </w:r>
      <w:r w:rsidRPr="00371B91">
        <w:rPr>
          <w:rFonts w:ascii="Tahoma" w:hAnsi="Tahoma" w:cs="Tahoma"/>
          <w:sz w:val="20"/>
          <w:szCs w:val="20"/>
          <w:u w:val="single"/>
        </w:rPr>
        <w:t>suscriban</w:t>
      </w:r>
      <w:r w:rsidRPr="00371B91">
        <w:rPr>
          <w:rFonts w:ascii="Tahoma" w:hAnsi="Tahoma" w:cs="Tahoma"/>
          <w:sz w:val="20"/>
          <w:szCs w:val="20"/>
        </w:rPr>
        <w:t xml:space="preserve"> un contrato sin contar con inscripción vigente en el Registro Nacional de Proveedores, y se configura </w:t>
      </w:r>
      <w:r w:rsidRPr="00371B91">
        <w:rPr>
          <w:rFonts w:ascii="Tahoma" w:hAnsi="Tahoma" w:cs="Tahoma"/>
          <w:sz w:val="20"/>
          <w:szCs w:val="20"/>
          <w:u w:val="single"/>
        </w:rPr>
        <w:t>con la sola participación en el proceso o la suscripción de un contrato, sin contar con inscripción vigente en el citado Registro</w:t>
      </w:r>
      <w:r w:rsidRPr="00371B91">
        <w:rPr>
          <w:rFonts w:ascii="Tahoma" w:hAnsi="Tahoma" w:cs="Tahoma"/>
          <w:sz w:val="20"/>
          <w:szCs w:val="20"/>
        </w:rPr>
        <w:t xml:space="preserve">, sin que la norma exija factores adicionales –entendiéndose ello a la </w:t>
      </w:r>
      <w:r w:rsidRPr="00371B91">
        <w:rPr>
          <w:rFonts w:ascii="Tahoma" w:hAnsi="Tahoma" w:cs="Tahoma"/>
          <w:i/>
          <w:sz w:val="20"/>
          <w:szCs w:val="20"/>
        </w:rPr>
        <w:t>responsabilidad objetiva</w:t>
      </w:r>
      <w:r w:rsidRPr="00371B91">
        <w:rPr>
          <w:rStyle w:val="Refdenotaalpie"/>
          <w:rFonts w:ascii="Tahoma" w:hAnsi="Tahoma" w:cs="Tahoma"/>
          <w:sz w:val="20"/>
          <w:szCs w:val="20"/>
        </w:rPr>
        <w:footnoteReference w:id="3"/>
      </w:r>
      <w:r w:rsidRPr="00371B91">
        <w:rPr>
          <w:rFonts w:ascii="Tahoma" w:hAnsi="Tahoma" w:cs="Tahoma"/>
          <w:sz w:val="20"/>
          <w:szCs w:val="20"/>
        </w:rPr>
        <w:t>–, pues basta la constatación del hecho descrito para la comisión de la infracción referida.</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numPr>
          <w:ilvl w:val="0"/>
          <w:numId w:val="37"/>
        </w:numPr>
        <w:tabs>
          <w:tab w:val="clear" w:pos="360"/>
          <w:tab w:val="num" w:pos="567"/>
        </w:tabs>
        <w:spacing w:after="0"/>
        <w:ind w:left="567" w:hanging="567"/>
        <w:jc w:val="both"/>
        <w:rPr>
          <w:rFonts w:ascii="Tahoma" w:hAnsi="Tahoma" w:cs="Tahoma"/>
          <w:sz w:val="20"/>
          <w:szCs w:val="20"/>
        </w:rPr>
      </w:pPr>
      <w:r w:rsidRPr="00371B91">
        <w:rPr>
          <w:rFonts w:ascii="Tahoma" w:hAnsi="Tahoma" w:cs="Tahoma"/>
          <w:sz w:val="20"/>
          <w:szCs w:val="20"/>
        </w:rPr>
        <w:t>En segundo lugar, resulta necesario tener en cuenta como marco referencial que el artículo 9 de La Ley, establece que para ser participante, postor y/o contratista se requiere estar inscrito en el Registro Nacional de Proveedores. Asimismo, el artículo 52 del Reglamento establece que la persona natural o jurídica que desee participar en un proceso de selección, deberá registrarse como participante conforme a las reglas establecidas en la Bases, para cuyo efecto acreditará estar con inscripción vigente en el RNP conforme al objeto contractual.</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widowControl w:val="0"/>
        <w:numPr>
          <w:ilvl w:val="0"/>
          <w:numId w:val="37"/>
        </w:numPr>
        <w:tabs>
          <w:tab w:val="clear" w:pos="360"/>
          <w:tab w:val="left" w:pos="709"/>
        </w:tabs>
        <w:suppressAutoHyphens/>
        <w:spacing w:after="0"/>
        <w:ind w:left="567" w:hanging="567"/>
        <w:jc w:val="both"/>
        <w:rPr>
          <w:rFonts w:ascii="Tahoma" w:hAnsi="Tahoma" w:cs="Tahoma"/>
          <w:sz w:val="20"/>
          <w:szCs w:val="20"/>
        </w:rPr>
      </w:pPr>
      <w:r w:rsidRPr="00371B91">
        <w:rPr>
          <w:rFonts w:ascii="Tahoma" w:hAnsi="Tahoma" w:cs="Tahoma"/>
          <w:sz w:val="20"/>
          <w:szCs w:val="20"/>
        </w:rPr>
        <w:t>En esa medida, el a</w:t>
      </w:r>
      <w:r w:rsidRPr="00371B91">
        <w:rPr>
          <w:rFonts w:ascii="Tahoma" w:hAnsi="Tahoma" w:cs="Tahoma"/>
          <w:bCs/>
          <w:color w:val="000000"/>
          <w:sz w:val="20"/>
          <w:szCs w:val="20"/>
        </w:rPr>
        <w:t xml:space="preserve">rtículo 252 del citado Reglamento, ha dispuesto lo siguiente: </w:t>
      </w:r>
      <w:r w:rsidRPr="00371B91">
        <w:rPr>
          <w:rFonts w:ascii="Tahoma" w:hAnsi="Tahoma" w:cs="Tahoma"/>
          <w:bCs/>
          <w:i/>
          <w:color w:val="000000"/>
          <w:sz w:val="20"/>
          <w:szCs w:val="20"/>
        </w:rPr>
        <w:t>“</w:t>
      </w:r>
      <w:r w:rsidRPr="00371B91">
        <w:rPr>
          <w:rFonts w:ascii="Tahoma" w:hAnsi="Tahoma" w:cs="Tahoma"/>
          <w:i/>
          <w:color w:val="000000"/>
          <w:sz w:val="20"/>
          <w:szCs w:val="20"/>
        </w:rPr>
        <w:t xml:space="preserve">Mediante directivas el OSCE establecerá las reglas, pautas y lineamientos de los respectivos procedimientos. La inscripción en los Registros tendrá validez de un (1) año a partir del día siguiente de su aprobación, pudiendo el interesado iniciar el procedimiento de renovación dentro de los treinta días (30) calendario anteriores a su vencimiento. </w:t>
      </w:r>
      <w:r w:rsidRPr="00371B91">
        <w:rPr>
          <w:rFonts w:ascii="Tahoma" w:hAnsi="Tahoma" w:cs="Tahoma"/>
          <w:b/>
          <w:i/>
          <w:color w:val="000000"/>
          <w:sz w:val="20"/>
          <w:szCs w:val="20"/>
          <w:u w:val="single"/>
        </w:rPr>
        <w:t>Los proveedores serán responsables de que su inscripción en el Registro correspondiente del RNP se encuentre vigente durante su participación en el proceso de selección hasta la suscripción del contrato</w:t>
      </w:r>
      <w:r w:rsidRPr="00371B91">
        <w:rPr>
          <w:rFonts w:ascii="Tahoma" w:hAnsi="Tahoma" w:cs="Tahoma"/>
          <w:i/>
          <w:color w:val="000000"/>
          <w:sz w:val="20"/>
          <w:szCs w:val="20"/>
        </w:rPr>
        <w:t>. Las Entidades deberán verificar su autenticidad y vigencia en el portal institucional de OSCE.” (El resaltado es nuestro)</w:t>
      </w:r>
    </w:p>
    <w:p w:rsidR="00371B91" w:rsidRPr="00371B91" w:rsidRDefault="00371B91" w:rsidP="00371B91">
      <w:pPr>
        <w:pStyle w:val="Textoindependiente"/>
        <w:widowControl w:val="0"/>
        <w:tabs>
          <w:tab w:val="left" w:pos="709"/>
        </w:tabs>
        <w:suppressAutoHyphens/>
        <w:spacing w:after="0"/>
        <w:ind w:left="567"/>
        <w:jc w:val="both"/>
        <w:rPr>
          <w:rFonts w:ascii="Tahoma" w:hAnsi="Tahoma" w:cs="Tahoma"/>
          <w:sz w:val="20"/>
          <w:szCs w:val="20"/>
        </w:rPr>
      </w:pPr>
    </w:p>
    <w:p w:rsidR="00371B91" w:rsidRPr="00371B91" w:rsidRDefault="00371B91" w:rsidP="00371B91">
      <w:pPr>
        <w:pStyle w:val="Textoindependiente"/>
        <w:numPr>
          <w:ilvl w:val="0"/>
          <w:numId w:val="37"/>
        </w:numPr>
        <w:tabs>
          <w:tab w:val="clear" w:pos="360"/>
          <w:tab w:val="num" w:pos="567"/>
        </w:tabs>
        <w:spacing w:after="0"/>
        <w:ind w:left="567" w:hanging="567"/>
        <w:jc w:val="both"/>
        <w:rPr>
          <w:rFonts w:ascii="Tahoma" w:hAnsi="Tahoma" w:cs="Tahoma"/>
          <w:sz w:val="20"/>
          <w:szCs w:val="20"/>
        </w:rPr>
      </w:pPr>
      <w:r w:rsidRPr="00371B91">
        <w:rPr>
          <w:rFonts w:ascii="Tahoma" w:hAnsi="Tahoma" w:cs="Tahoma"/>
          <w:sz w:val="20"/>
          <w:szCs w:val="20"/>
        </w:rPr>
        <w:t xml:space="preserve">De las normas glosadas se advierte que es un requisito indispensable para </w:t>
      </w:r>
      <w:r w:rsidRPr="00371B91">
        <w:rPr>
          <w:rFonts w:ascii="Tahoma" w:hAnsi="Tahoma" w:cs="Tahoma"/>
          <w:b/>
          <w:sz w:val="20"/>
          <w:szCs w:val="20"/>
          <w:u w:val="single"/>
        </w:rPr>
        <w:t>participar y contratar con el Estado</w:t>
      </w:r>
      <w:r w:rsidRPr="00371B91">
        <w:rPr>
          <w:rFonts w:ascii="Tahoma" w:hAnsi="Tahoma" w:cs="Tahoma"/>
          <w:sz w:val="20"/>
          <w:szCs w:val="20"/>
        </w:rPr>
        <w:t xml:space="preserve"> estar inscrito en el Registro Nacional de Proveedores. De igual manera, es posible apreciar que para que dicha inscripción esté completa, los proveedores deberán presentar la documentación exigida en el TUPA del OSCE para dicho trámite.</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numPr>
          <w:ilvl w:val="0"/>
          <w:numId w:val="37"/>
        </w:numPr>
        <w:tabs>
          <w:tab w:val="clear" w:pos="360"/>
          <w:tab w:val="num" w:pos="567"/>
        </w:tabs>
        <w:spacing w:after="0"/>
        <w:ind w:left="567" w:hanging="567"/>
        <w:jc w:val="both"/>
        <w:rPr>
          <w:rFonts w:ascii="Tahoma" w:hAnsi="Tahoma" w:cs="Tahoma"/>
          <w:sz w:val="20"/>
          <w:szCs w:val="20"/>
        </w:rPr>
      </w:pPr>
      <w:r w:rsidRPr="00371B91">
        <w:rPr>
          <w:rFonts w:ascii="Tahoma" w:hAnsi="Tahoma" w:cs="Tahoma"/>
          <w:sz w:val="20"/>
          <w:szCs w:val="20"/>
        </w:rPr>
        <w:lastRenderedPageBreak/>
        <w:t xml:space="preserve">Debe considerarse, además, que la norma ha previsto dos supuestos de hecho distintos de configuración de esta infracción, con temporalidad de ocurrencia disímil. En tal sentido, tenemos, de un lado, </w:t>
      </w:r>
      <w:r w:rsidRPr="00371B91">
        <w:rPr>
          <w:rFonts w:ascii="Tahoma" w:hAnsi="Tahoma" w:cs="Tahoma"/>
          <w:b/>
          <w:sz w:val="20"/>
          <w:szCs w:val="20"/>
          <w:u w:val="single"/>
        </w:rPr>
        <w:t>la participación en un proceso de selección</w:t>
      </w:r>
      <w:r w:rsidRPr="00371B91">
        <w:rPr>
          <w:rFonts w:ascii="Tahoma" w:hAnsi="Tahoma" w:cs="Tahoma"/>
          <w:sz w:val="20"/>
          <w:szCs w:val="20"/>
        </w:rPr>
        <w:t xml:space="preserve"> y, del otro, encontramos </w:t>
      </w:r>
      <w:r w:rsidRPr="00371B91">
        <w:rPr>
          <w:rFonts w:ascii="Tahoma" w:hAnsi="Tahoma" w:cs="Tahoma"/>
          <w:b/>
          <w:sz w:val="20"/>
          <w:szCs w:val="20"/>
        </w:rPr>
        <w:t>la suscripción de un contrato</w:t>
      </w:r>
      <w:r w:rsidRPr="00371B91">
        <w:rPr>
          <w:rFonts w:ascii="Tahoma" w:hAnsi="Tahoma" w:cs="Tahoma"/>
          <w:sz w:val="20"/>
          <w:szCs w:val="20"/>
        </w:rPr>
        <w:t>, los cuales suponen etapas distintas e independientes durante el desarrollo de un proceso de selección, y por ende poseen plazos y formalidades propias.</w:t>
      </w:r>
    </w:p>
    <w:p w:rsidR="00371B91" w:rsidRPr="00371B91" w:rsidRDefault="00371B91" w:rsidP="00371B91">
      <w:pPr>
        <w:pStyle w:val="Prrafodelista"/>
        <w:tabs>
          <w:tab w:val="num" w:pos="567"/>
        </w:tabs>
        <w:rPr>
          <w:rFonts w:ascii="Tahoma" w:hAnsi="Tahoma" w:cs="Tahoma"/>
        </w:rPr>
      </w:pPr>
    </w:p>
    <w:p w:rsidR="00371B91" w:rsidRPr="00371B91" w:rsidRDefault="00371B91" w:rsidP="00371B91">
      <w:pPr>
        <w:pStyle w:val="Textoindependiente"/>
        <w:numPr>
          <w:ilvl w:val="0"/>
          <w:numId w:val="37"/>
        </w:numPr>
        <w:tabs>
          <w:tab w:val="clear" w:pos="360"/>
          <w:tab w:val="num" w:pos="567"/>
        </w:tabs>
        <w:spacing w:after="0"/>
        <w:ind w:left="567" w:hanging="567"/>
        <w:jc w:val="both"/>
        <w:rPr>
          <w:rFonts w:ascii="Tahoma" w:hAnsi="Tahoma" w:cs="Tahoma"/>
          <w:sz w:val="20"/>
          <w:szCs w:val="20"/>
        </w:rPr>
      </w:pPr>
      <w:r w:rsidRPr="00371B91">
        <w:rPr>
          <w:rFonts w:ascii="Tahoma" w:hAnsi="Tahoma" w:cs="Tahoma"/>
          <w:sz w:val="20"/>
          <w:szCs w:val="20"/>
        </w:rPr>
        <w:t xml:space="preserve">Ahora bien, respecto al primer supuesto, debe entenderse que éste se encuentra contenido en el marco de lo previsto por el numeral 36 del Anexo de Definiciones del Reglamento, que define al </w:t>
      </w:r>
      <w:r w:rsidRPr="00371B91">
        <w:rPr>
          <w:rFonts w:ascii="Tahoma" w:hAnsi="Tahoma" w:cs="Tahoma"/>
          <w:b/>
          <w:i/>
          <w:sz w:val="20"/>
          <w:szCs w:val="20"/>
        </w:rPr>
        <w:t>participante</w:t>
      </w:r>
      <w:r w:rsidRPr="00371B91">
        <w:rPr>
          <w:rFonts w:ascii="Tahoma" w:hAnsi="Tahoma" w:cs="Tahoma"/>
          <w:sz w:val="20"/>
          <w:szCs w:val="20"/>
        </w:rPr>
        <w:t xml:space="preserve"> como </w:t>
      </w:r>
      <w:r w:rsidRPr="00371B91">
        <w:rPr>
          <w:rFonts w:ascii="Tahoma" w:hAnsi="Tahoma" w:cs="Tahoma"/>
          <w:i/>
          <w:sz w:val="20"/>
          <w:szCs w:val="20"/>
        </w:rPr>
        <w:t xml:space="preserve">“el proveedor que puede intervenir en el proceso de selección, por haberse </w:t>
      </w:r>
      <w:r w:rsidRPr="00371B91">
        <w:rPr>
          <w:rFonts w:ascii="Tahoma" w:hAnsi="Tahoma" w:cs="Tahoma"/>
          <w:b/>
          <w:i/>
          <w:sz w:val="20"/>
          <w:szCs w:val="20"/>
        </w:rPr>
        <w:t>registrado conforme a las reglas establecidas en las Bases</w:t>
      </w:r>
      <w:r w:rsidRPr="00371B91">
        <w:rPr>
          <w:rFonts w:ascii="Tahoma" w:hAnsi="Tahoma" w:cs="Tahoma"/>
          <w:i/>
          <w:sz w:val="20"/>
          <w:szCs w:val="20"/>
        </w:rPr>
        <w:t>”</w:t>
      </w:r>
      <w:r w:rsidRPr="00371B91">
        <w:rPr>
          <w:rFonts w:ascii="Tahoma" w:hAnsi="Tahoma" w:cs="Tahoma"/>
          <w:sz w:val="20"/>
          <w:szCs w:val="20"/>
        </w:rPr>
        <w:t xml:space="preserve"> y el numeral 38 del citado anexo que conceptualiza como </w:t>
      </w:r>
      <w:r w:rsidRPr="00371B91">
        <w:rPr>
          <w:rFonts w:ascii="Tahoma" w:hAnsi="Tahoma" w:cs="Tahoma"/>
          <w:b/>
          <w:i/>
          <w:sz w:val="20"/>
          <w:szCs w:val="20"/>
        </w:rPr>
        <w:t>postor</w:t>
      </w:r>
      <w:r w:rsidRPr="00371B91">
        <w:rPr>
          <w:rFonts w:ascii="Tahoma" w:hAnsi="Tahoma" w:cs="Tahoma"/>
          <w:sz w:val="20"/>
          <w:szCs w:val="20"/>
        </w:rPr>
        <w:t xml:space="preserve"> a </w:t>
      </w:r>
      <w:r w:rsidRPr="00371B91">
        <w:rPr>
          <w:rFonts w:ascii="Tahoma" w:hAnsi="Tahoma" w:cs="Tahoma"/>
          <w:i/>
          <w:sz w:val="20"/>
          <w:szCs w:val="20"/>
        </w:rPr>
        <w:t xml:space="preserve">“la persona natural o jurídica legalmente capacitada que participa en un proceso de selección </w:t>
      </w:r>
      <w:r w:rsidRPr="00371B91">
        <w:rPr>
          <w:rFonts w:ascii="Tahoma" w:hAnsi="Tahoma" w:cs="Tahoma"/>
          <w:b/>
          <w:i/>
          <w:sz w:val="20"/>
          <w:szCs w:val="20"/>
        </w:rPr>
        <w:t>desde el momento que presenta su propuesta o su sobre para la calificación previa</w:t>
      </w:r>
      <w:r w:rsidRPr="00371B91">
        <w:rPr>
          <w:rFonts w:ascii="Tahoma" w:hAnsi="Tahoma" w:cs="Tahoma"/>
          <w:i/>
          <w:sz w:val="20"/>
          <w:szCs w:val="20"/>
        </w:rPr>
        <w:t>”</w:t>
      </w:r>
      <w:r w:rsidRPr="00371B91">
        <w:rPr>
          <w:rFonts w:ascii="Tahoma" w:hAnsi="Tahoma" w:cs="Tahoma"/>
          <w:sz w:val="20"/>
          <w:szCs w:val="20"/>
        </w:rPr>
        <w:t>. (el negrita es nuestro)</w:t>
      </w:r>
    </w:p>
    <w:p w:rsidR="00371B91" w:rsidRPr="00371B91" w:rsidRDefault="00371B91" w:rsidP="00371B91">
      <w:pPr>
        <w:pStyle w:val="Prrafodelista"/>
        <w:ind w:left="567"/>
        <w:rPr>
          <w:rFonts w:ascii="Tahoma" w:hAnsi="Tahoma" w:cs="Tahoma"/>
        </w:rPr>
      </w:pPr>
    </w:p>
    <w:p w:rsidR="00371B91" w:rsidRPr="00371B91" w:rsidRDefault="00371B91" w:rsidP="00371B91">
      <w:pPr>
        <w:pStyle w:val="Prrafodelista"/>
        <w:ind w:left="567"/>
        <w:jc w:val="both"/>
        <w:rPr>
          <w:rFonts w:ascii="Tahoma" w:hAnsi="Tahoma" w:cs="Tahoma"/>
        </w:rPr>
      </w:pPr>
      <w:r w:rsidRPr="00371B91">
        <w:rPr>
          <w:rFonts w:ascii="Tahoma" w:hAnsi="Tahoma" w:cs="Tahoma"/>
        </w:rPr>
        <w:t>Nótese, entonces que la normativa de contrataciones ha definido por un lado, que el participante es aquella persona natural o jurídica que interviene en un proceso de selección, cuyo registro se realizo conforme lo establecido en las Bases; y por el otro lado, que aquél participante adquiere la calidad de postor cuando éste está legalmente capacitado para participar en un proceso de selección, situación que ocurre desde el momento en que presenta su propuesta o su sobre para la calificación previa, según corresponda.</w:t>
      </w:r>
    </w:p>
    <w:p w:rsidR="00371B91" w:rsidRPr="00371B91" w:rsidRDefault="00371B91" w:rsidP="00371B91">
      <w:pPr>
        <w:pStyle w:val="Prrafodelista"/>
        <w:ind w:left="567"/>
        <w:jc w:val="both"/>
        <w:rPr>
          <w:rFonts w:ascii="Tahoma" w:hAnsi="Tahoma" w:cs="Tahoma"/>
        </w:rPr>
      </w:pPr>
    </w:p>
    <w:p w:rsidR="00371B91" w:rsidRPr="00371B91" w:rsidRDefault="00371B91" w:rsidP="00371B91">
      <w:pPr>
        <w:pStyle w:val="Textoindependiente"/>
        <w:widowControl w:val="0"/>
        <w:numPr>
          <w:ilvl w:val="0"/>
          <w:numId w:val="37"/>
        </w:numPr>
        <w:tabs>
          <w:tab w:val="clear" w:pos="360"/>
          <w:tab w:val="num" w:pos="567"/>
        </w:tabs>
        <w:suppressAutoHyphens/>
        <w:spacing w:after="0"/>
        <w:ind w:left="567" w:hanging="567"/>
        <w:jc w:val="both"/>
        <w:rPr>
          <w:rFonts w:ascii="Tahoma" w:hAnsi="Tahoma" w:cs="Tahoma"/>
          <w:sz w:val="20"/>
          <w:szCs w:val="20"/>
        </w:rPr>
      </w:pPr>
      <w:r w:rsidRPr="00371B91">
        <w:rPr>
          <w:rFonts w:ascii="Tahoma" w:hAnsi="Tahoma" w:cs="Tahoma"/>
          <w:sz w:val="20"/>
          <w:szCs w:val="20"/>
        </w:rPr>
        <w:t>En tal sentido, debe tenerse presente que para la configuración del supuesto de hecho de la norma que contiene la infracción incoada, es necesario acreditar si el Postor a la fecha del registro o de presentación de propuestas contaba con inscripción vigente en el Registro Nacional de Proveedores.</w:t>
      </w:r>
    </w:p>
    <w:p w:rsidR="00371B91" w:rsidRPr="00371B91" w:rsidRDefault="00371B91" w:rsidP="00371B91">
      <w:pPr>
        <w:pStyle w:val="Textoindependiente"/>
        <w:widowControl w:val="0"/>
        <w:suppressAutoHyphens/>
        <w:spacing w:after="0"/>
        <w:ind w:left="567"/>
        <w:jc w:val="both"/>
        <w:rPr>
          <w:rFonts w:ascii="Tahoma" w:hAnsi="Tahoma" w:cs="Tahoma"/>
          <w:sz w:val="20"/>
          <w:szCs w:val="20"/>
        </w:rPr>
      </w:pPr>
    </w:p>
    <w:p w:rsidR="00371B91" w:rsidRPr="00371B91" w:rsidRDefault="00371B91" w:rsidP="00371B91">
      <w:pPr>
        <w:pStyle w:val="Textoindependiente"/>
        <w:widowControl w:val="0"/>
        <w:numPr>
          <w:ilvl w:val="0"/>
          <w:numId w:val="37"/>
        </w:numPr>
        <w:tabs>
          <w:tab w:val="clear" w:pos="360"/>
          <w:tab w:val="num" w:pos="567"/>
        </w:tabs>
        <w:suppressAutoHyphens/>
        <w:spacing w:after="0"/>
        <w:ind w:left="567" w:hanging="567"/>
        <w:jc w:val="both"/>
        <w:rPr>
          <w:rFonts w:ascii="Tahoma" w:hAnsi="Tahoma" w:cs="Tahoma"/>
          <w:sz w:val="20"/>
          <w:szCs w:val="20"/>
        </w:rPr>
      </w:pPr>
      <w:r w:rsidRPr="00371B91">
        <w:rPr>
          <w:rFonts w:ascii="Tahoma" w:hAnsi="Tahoma" w:cs="Tahoma"/>
          <w:sz w:val="20"/>
          <w:szCs w:val="20"/>
        </w:rPr>
        <w:t>Sobre el particular, la Entidad con motivo de la denuncia efectuada contra el Postor, remitió el Memorando № 007-LEGL-UAC-1810-2010 de fecha 13 de octubre de 2010, mediante el cual manifestó que el 13 de septiembre de 2010, se realizó el acto de presentación de propuestas, advirtiéndose que el Postor no tenia vigente su inscripción en el Registro Nacional de Proveedores, correspondiente al Capítulo de Servicios.</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widowControl w:val="0"/>
        <w:numPr>
          <w:ilvl w:val="0"/>
          <w:numId w:val="37"/>
        </w:numPr>
        <w:tabs>
          <w:tab w:val="clear" w:pos="360"/>
          <w:tab w:val="num" w:pos="567"/>
          <w:tab w:val="left" w:pos="709"/>
        </w:tabs>
        <w:suppressAutoHyphens/>
        <w:spacing w:after="0"/>
        <w:ind w:left="567" w:hanging="567"/>
        <w:jc w:val="both"/>
        <w:rPr>
          <w:rFonts w:ascii="Tahoma" w:hAnsi="Tahoma" w:cs="Tahoma"/>
          <w:sz w:val="20"/>
          <w:szCs w:val="20"/>
        </w:rPr>
      </w:pPr>
      <w:r w:rsidRPr="00371B91">
        <w:rPr>
          <w:rFonts w:ascii="Tahoma" w:hAnsi="Tahoma" w:cs="Tahoma"/>
          <w:sz w:val="20"/>
          <w:szCs w:val="20"/>
        </w:rPr>
        <w:t>Al respecto, el Postor con ocasión a la presentación de sus descargos manifestó que el objeto del presente proceso de selección estaba referido a la elaboración de un expediente técnico para la renovación de desagüe de la Entidad, entendiéndose que para poder participar en el referido proceso de selección los postores debían tener vigente su inscripción en el Registro Consultores de Obras del Registro Nacional de Proveedores. Siendo esto así, el Postor señaló que con la presentación de su propuesta técnica adjuntó la Copia Simple del Certificado de Inscripción vigente en el Registro de Consultores de Obras, vigente desde el 07 de noviembre de 2009 hasta el 07 de noviembre de 2010.</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widowControl w:val="0"/>
        <w:numPr>
          <w:ilvl w:val="0"/>
          <w:numId w:val="37"/>
        </w:numPr>
        <w:tabs>
          <w:tab w:val="clear" w:pos="360"/>
          <w:tab w:val="num" w:pos="567"/>
          <w:tab w:val="left" w:pos="709"/>
        </w:tabs>
        <w:suppressAutoHyphens/>
        <w:autoSpaceDE w:val="0"/>
        <w:autoSpaceDN w:val="0"/>
        <w:adjustRightInd w:val="0"/>
        <w:spacing w:after="0"/>
        <w:ind w:left="567" w:hanging="567"/>
        <w:jc w:val="both"/>
        <w:rPr>
          <w:rFonts w:ascii="Tahoma" w:hAnsi="Tahoma" w:cs="Tahoma"/>
          <w:i/>
          <w:sz w:val="20"/>
          <w:szCs w:val="20"/>
        </w:rPr>
      </w:pPr>
      <w:r w:rsidRPr="00371B91">
        <w:rPr>
          <w:rFonts w:ascii="Tahoma" w:hAnsi="Tahoma" w:cs="Tahoma"/>
          <w:sz w:val="20"/>
          <w:szCs w:val="20"/>
        </w:rPr>
        <w:t>De los hechos expuestos, en principio, resulta pertinente señalar q</w:t>
      </w:r>
      <w:r w:rsidRPr="00371B91">
        <w:rPr>
          <w:rFonts w:ascii="Tahoma" w:hAnsi="Tahoma" w:cs="Tahoma"/>
          <w:sz w:val="20"/>
          <w:szCs w:val="20"/>
          <w:lang w:eastAsia="en-US"/>
        </w:rPr>
        <w:t xml:space="preserve">ue el literal g) del </w:t>
      </w:r>
      <w:r w:rsidRPr="00371B91">
        <w:rPr>
          <w:rFonts w:ascii="Tahoma" w:hAnsi="Tahoma" w:cs="Tahoma"/>
          <w:sz w:val="20"/>
          <w:szCs w:val="20"/>
          <w:lang w:eastAsia="en-US"/>
        </w:rPr>
        <w:lastRenderedPageBreak/>
        <w:t>numeral 14 del Anexo № 1 del Reglamento de Petroperú –concordante con el artículo 42 del Reglamento</w:t>
      </w:r>
      <w:r w:rsidRPr="00371B91">
        <w:rPr>
          <w:rStyle w:val="Refdenotaalpie"/>
          <w:rFonts w:ascii="Tahoma" w:hAnsi="Tahoma" w:cs="Tahoma"/>
          <w:sz w:val="20"/>
          <w:szCs w:val="20"/>
          <w:lang w:eastAsia="en-US"/>
        </w:rPr>
        <w:footnoteReference w:id="4"/>
      </w:r>
      <w:r w:rsidRPr="00371B91">
        <w:rPr>
          <w:rFonts w:ascii="Tahoma" w:hAnsi="Tahoma" w:cs="Tahoma"/>
          <w:sz w:val="20"/>
          <w:szCs w:val="20"/>
          <w:lang w:eastAsia="en-US"/>
        </w:rPr>
        <w:t>– ha dispuesto que uno de los documentos de presentación obligatoria es la Declaración Jurada mediante la cual el Postor declare, entre otros, que “</w:t>
      </w:r>
      <w:r w:rsidRPr="00371B91">
        <w:rPr>
          <w:rFonts w:ascii="Tahoma" w:eastAsiaTheme="minorHAnsi" w:hAnsi="Tahoma" w:cs="Tahoma"/>
          <w:i/>
          <w:sz w:val="20"/>
          <w:szCs w:val="20"/>
          <w:lang w:eastAsia="en-US"/>
        </w:rPr>
        <w:t xml:space="preserve">Cuenta con </w:t>
      </w:r>
      <w:r w:rsidRPr="00371B91">
        <w:rPr>
          <w:rFonts w:ascii="Tahoma" w:eastAsiaTheme="minorHAnsi" w:hAnsi="Tahoma" w:cs="Tahoma"/>
          <w:b/>
          <w:i/>
          <w:sz w:val="20"/>
          <w:szCs w:val="20"/>
          <w:lang w:eastAsia="en-US"/>
        </w:rPr>
        <w:t>inscripción vigente</w:t>
      </w:r>
      <w:r w:rsidRPr="00371B91">
        <w:rPr>
          <w:rFonts w:ascii="Tahoma" w:eastAsiaTheme="minorHAnsi" w:hAnsi="Tahoma" w:cs="Tahoma"/>
          <w:i/>
          <w:sz w:val="20"/>
          <w:szCs w:val="20"/>
          <w:lang w:eastAsia="en-US"/>
        </w:rPr>
        <w:t xml:space="preserve"> en la Base de Datos de Proveedores Calificados (BDPC) de PETROPERÚ S.A. con el Número de inscripción………….en la clase/grupo </w:t>
      </w:r>
      <w:r w:rsidRPr="00371B91">
        <w:rPr>
          <w:rFonts w:ascii="Tahoma" w:eastAsiaTheme="minorHAnsi" w:hAnsi="Tahoma" w:cs="Tahoma"/>
          <w:b/>
          <w:i/>
          <w:sz w:val="20"/>
          <w:szCs w:val="20"/>
          <w:lang w:eastAsia="en-US"/>
        </w:rPr>
        <w:t xml:space="preserve">correspondiente al objeto de la convocatoria </w:t>
      </w:r>
      <w:r w:rsidRPr="00371B91">
        <w:rPr>
          <w:rFonts w:ascii="Tahoma" w:eastAsiaTheme="minorHAnsi" w:hAnsi="Tahoma" w:cs="Tahoma"/>
          <w:i/>
          <w:iCs/>
          <w:sz w:val="20"/>
          <w:szCs w:val="20"/>
          <w:lang w:eastAsia="en-US"/>
        </w:rPr>
        <w:t xml:space="preserve">(o cuenta con inscripción electrónica vigente en el Registro Nacional de Proveedores del OSCE </w:t>
      </w:r>
      <w:r w:rsidRPr="00371B91">
        <w:rPr>
          <w:rFonts w:ascii="Tahoma" w:eastAsiaTheme="minorHAnsi" w:hAnsi="Tahoma" w:cs="Tahoma"/>
          <w:i/>
          <w:sz w:val="20"/>
          <w:szCs w:val="20"/>
          <w:lang w:eastAsia="en-US"/>
        </w:rPr>
        <w:t>con el Número de inscripción………….</w:t>
      </w:r>
      <w:r w:rsidRPr="00371B91">
        <w:rPr>
          <w:rFonts w:ascii="Tahoma" w:eastAsiaTheme="minorHAnsi" w:hAnsi="Tahoma" w:cs="Tahoma"/>
          <w:i/>
          <w:iCs/>
          <w:sz w:val="20"/>
          <w:szCs w:val="20"/>
          <w:lang w:eastAsia="en-US"/>
        </w:rPr>
        <w:t xml:space="preserve">, hasta que se implemente la BDPC. </w:t>
      </w:r>
      <w:r w:rsidRPr="00371B91">
        <w:rPr>
          <w:rFonts w:ascii="Tahoma" w:eastAsiaTheme="minorHAnsi" w:hAnsi="Tahoma" w:cs="Tahoma"/>
          <w:iCs/>
          <w:sz w:val="20"/>
          <w:szCs w:val="20"/>
          <w:lang w:eastAsia="en-US"/>
        </w:rPr>
        <w:t>(El negrita es nuestro)</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widowControl w:val="0"/>
        <w:numPr>
          <w:ilvl w:val="0"/>
          <w:numId w:val="37"/>
        </w:numPr>
        <w:tabs>
          <w:tab w:val="clear" w:pos="360"/>
          <w:tab w:val="num" w:pos="567"/>
          <w:tab w:val="left" w:pos="709"/>
        </w:tabs>
        <w:suppressAutoHyphens/>
        <w:autoSpaceDE w:val="0"/>
        <w:autoSpaceDN w:val="0"/>
        <w:adjustRightInd w:val="0"/>
        <w:spacing w:after="0"/>
        <w:ind w:left="567" w:hanging="567"/>
        <w:jc w:val="both"/>
        <w:rPr>
          <w:rFonts w:ascii="Tahoma" w:hAnsi="Tahoma" w:cs="Tahoma"/>
          <w:i/>
          <w:sz w:val="20"/>
          <w:szCs w:val="20"/>
        </w:rPr>
      </w:pPr>
      <w:r w:rsidRPr="00371B91">
        <w:rPr>
          <w:rFonts w:ascii="Tahoma" w:hAnsi="Tahoma" w:cs="Tahoma"/>
          <w:sz w:val="20"/>
          <w:szCs w:val="20"/>
        </w:rPr>
        <w:t>De ello, se desprende que los postores deben cumplir con los requisitos establecidos por la normativa de contrataciones del Estado, esto es, que para el presente caso aquéllos debían tener su inscripción vigente en el Registro Nacional de Proveedores, con el fin de que éstos puedan participar en los procesos de selección que las Entidades convoquen con la finalidad de obtener los bienes, servicios u obras necesarios para el cumplimiento de sus funciones.</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widowControl w:val="0"/>
        <w:numPr>
          <w:ilvl w:val="0"/>
          <w:numId w:val="37"/>
        </w:numPr>
        <w:tabs>
          <w:tab w:val="clear" w:pos="360"/>
          <w:tab w:val="num" w:pos="567"/>
          <w:tab w:val="left" w:pos="709"/>
        </w:tabs>
        <w:suppressAutoHyphens/>
        <w:autoSpaceDE w:val="0"/>
        <w:autoSpaceDN w:val="0"/>
        <w:adjustRightInd w:val="0"/>
        <w:spacing w:after="0"/>
        <w:ind w:left="567" w:hanging="567"/>
        <w:jc w:val="both"/>
        <w:rPr>
          <w:rFonts w:ascii="Tahoma" w:hAnsi="Tahoma" w:cs="Tahoma"/>
          <w:i/>
          <w:sz w:val="20"/>
          <w:szCs w:val="20"/>
        </w:rPr>
      </w:pPr>
      <w:r w:rsidRPr="00371B91">
        <w:rPr>
          <w:rFonts w:ascii="Tahoma" w:hAnsi="Tahoma" w:cs="Tahoma"/>
          <w:sz w:val="20"/>
          <w:szCs w:val="20"/>
        </w:rPr>
        <w:t xml:space="preserve">Así, pues, en el marco de lo expuesto, </w:t>
      </w:r>
      <w:r w:rsidRPr="00371B91">
        <w:rPr>
          <w:rFonts w:ascii="Tahoma" w:hAnsi="Tahoma" w:cs="Tahoma"/>
          <w:sz w:val="20"/>
          <w:szCs w:val="20"/>
          <w:lang w:val="es-ES_tradnl"/>
        </w:rPr>
        <w:t>el</w:t>
      </w:r>
      <w:r w:rsidRPr="00371B91">
        <w:rPr>
          <w:rFonts w:ascii="Tahoma" w:hAnsi="Tahoma" w:cs="Tahoma"/>
          <w:sz w:val="20"/>
          <w:szCs w:val="20"/>
        </w:rPr>
        <w:t xml:space="preserve"> artículo 251 del Reglamento ha señalado que el Registro Nacional de Proveedores-RNP, cuyo desarrollo, administración y operación está a cargo del OSCE, está compuesto de los siguientes registros: (i) </w:t>
      </w:r>
      <w:r w:rsidRPr="00371B91">
        <w:rPr>
          <w:rFonts w:ascii="Tahoma" w:hAnsi="Tahoma" w:cs="Tahoma"/>
          <w:sz w:val="20"/>
          <w:szCs w:val="20"/>
          <w:lang w:val="es-ES_tradnl"/>
        </w:rPr>
        <w:t>Registro de Proveedores de Bienes; (ii) Registro de Proveedores de Servicios; (iii) Registro de Consultores de Obras; (iv)</w:t>
      </w:r>
      <w:r w:rsidRPr="00371B91">
        <w:rPr>
          <w:rFonts w:ascii="Tahoma" w:hAnsi="Tahoma" w:cs="Tahoma"/>
          <w:i/>
          <w:sz w:val="20"/>
          <w:szCs w:val="20"/>
        </w:rPr>
        <w:t xml:space="preserve"> </w:t>
      </w:r>
      <w:r w:rsidRPr="00371B91">
        <w:rPr>
          <w:rFonts w:ascii="Tahoma" w:hAnsi="Tahoma" w:cs="Tahoma"/>
          <w:sz w:val="20"/>
          <w:szCs w:val="20"/>
          <w:lang w:val="es-ES_tradnl"/>
        </w:rPr>
        <w:t>Registro de Ejecutores de Obras; y (v) Registro de Inhabilitados para Contratar con el Estado.</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widowControl w:val="0"/>
        <w:numPr>
          <w:ilvl w:val="0"/>
          <w:numId w:val="37"/>
        </w:numPr>
        <w:tabs>
          <w:tab w:val="clear" w:pos="360"/>
          <w:tab w:val="left" w:pos="709"/>
        </w:tabs>
        <w:suppressAutoHyphens/>
        <w:autoSpaceDE w:val="0"/>
        <w:autoSpaceDN w:val="0"/>
        <w:adjustRightInd w:val="0"/>
        <w:spacing w:after="0"/>
        <w:ind w:left="567" w:hanging="567"/>
        <w:jc w:val="both"/>
        <w:rPr>
          <w:rFonts w:ascii="Tahoma" w:hAnsi="Tahoma" w:cs="Tahoma"/>
          <w:sz w:val="20"/>
          <w:szCs w:val="20"/>
        </w:rPr>
      </w:pPr>
      <w:r w:rsidRPr="00371B91">
        <w:rPr>
          <w:rFonts w:ascii="Tahoma" w:hAnsi="Tahoma" w:cs="Tahoma"/>
          <w:sz w:val="20"/>
          <w:szCs w:val="20"/>
        </w:rPr>
        <w:t xml:space="preserve">Del mismo modo, el artículo 252 del Reglamento ha prescrito que </w:t>
      </w:r>
      <w:r w:rsidRPr="00371B91">
        <w:rPr>
          <w:rFonts w:ascii="Tahoma" w:hAnsi="Tahoma" w:cs="Tahoma"/>
          <w:bCs/>
          <w:i/>
          <w:color w:val="000000"/>
          <w:sz w:val="20"/>
          <w:szCs w:val="20"/>
        </w:rPr>
        <w:t>“L</w:t>
      </w:r>
      <w:r w:rsidRPr="00371B91">
        <w:rPr>
          <w:rFonts w:ascii="Tahoma" w:hAnsi="Tahoma" w:cs="Tahoma"/>
          <w:i/>
          <w:color w:val="000000"/>
          <w:sz w:val="20"/>
          <w:szCs w:val="20"/>
        </w:rPr>
        <w:t xml:space="preserve">os proveedores accederán a los Registros de Bienes, de Servicios, de Consultores de Obras y de Ejecución de Obras, de acuerdo a lo establecido en el presente Reglamento y cumpliendo con los requisitos, tasas, criterios y escalas establecidos en el TUPA del OSCE”. </w:t>
      </w:r>
      <w:r w:rsidRPr="00371B91">
        <w:rPr>
          <w:rFonts w:ascii="Tahoma" w:hAnsi="Tahoma" w:cs="Tahoma"/>
          <w:color w:val="000000"/>
          <w:sz w:val="20"/>
          <w:szCs w:val="20"/>
        </w:rPr>
        <w:t xml:space="preserve"> Asimismo, el último párrafo del mencionado artículo establece que las Entidades deberán verificar su autenticidad y vigencia en el portal institucional del OSCE.</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widowControl w:val="0"/>
        <w:numPr>
          <w:ilvl w:val="0"/>
          <w:numId w:val="37"/>
        </w:numPr>
        <w:tabs>
          <w:tab w:val="clear" w:pos="360"/>
          <w:tab w:val="left" w:pos="709"/>
        </w:tabs>
        <w:suppressAutoHyphens/>
        <w:autoSpaceDE w:val="0"/>
        <w:autoSpaceDN w:val="0"/>
        <w:adjustRightInd w:val="0"/>
        <w:spacing w:after="0"/>
        <w:ind w:left="567" w:hanging="567"/>
        <w:jc w:val="both"/>
        <w:rPr>
          <w:rFonts w:ascii="Tahoma" w:hAnsi="Tahoma" w:cs="Tahoma"/>
          <w:sz w:val="20"/>
          <w:szCs w:val="20"/>
        </w:rPr>
      </w:pPr>
      <w:r w:rsidRPr="00371B91">
        <w:rPr>
          <w:rFonts w:ascii="Tahoma" w:hAnsi="Tahoma" w:cs="Tahoma"/>
          <w:sz w:val="20"/>
          <w:szCs w:val="20"/>
        </w:rPr>
        <w:t>A su vez, el artículo 265 del Reglamento, estipula que en el Registro de Consultores de Obras deberán inscribirse todas las personas naturales o jurídicas, nacionales o extranjeras, que deseen participar en procesos de selección y/o contratar con el Estado para la consultoría de obras públicas, sea que se presenten de manera individual, en consorcio, o tengan la condición de subcontratistas.</w:t>
      </w:r>
    </w:p>
    <w:p w:rsidR="00371B91" w:rsidRPr="00371B91" w:rsidRDefault="00371B91" w:rsidP="00371B91">
      <w:pPr>
        <w:pStyle w:val="Prrafodelista"/>
        <w:rPr>
          <w:rFonts w:ascii="Tahoma" w:hAnsi="Tahoma" w:cs="Tahoma"/>
          <w:lang w:val="es-ES_tradnl"/>
        </w:rPr>
      </w:pPr>
    </w:p>
    <w:p w:rsidR="00371B91" w:rsidRPr="00371B91" w:rsidRDefault="00371B91" w:rsidP="00371B91">
      <w:pPr>
        <w:pStyle w:val="Textoindependiente"/>
        <w:widowControl w:val="0"/>
        <w:numPr>
          <w:ilvl w:val="0"/>
          <w:numId w:val="37"/>
        </w:numPr>
        <w:tabs>
          <w:tab w:val="clear" w:pos="360"/>
          <w:tab w:val="left" w:pos="709"/>
        </w:tabs>
        <w:suppressAutoHyphens/>
        <w:autoSpaceDE w:val="0"/>
        <w:autoSpaceDN w:val="0"/>
        <w:adjustRightInd w:val="0"/>
        <w:spacing w:after="0"/>
        <w:ind w:left="567" w:hanging="567"/>
        <w:jc w:val="both"/>
        <w:rPr>
          <w:rFonts w:ascii="Tahoma" w:hAnsi="Tahoma" w:cs="Tahoma"/>
          <w:sz w:val="20"/>
          <w:szCs w:val="20"/>
        </w:rPr>
      </w:pPr>
      <w:r w:rsidRPr="00371B91">
        <w:rPr>
          <w:rFonts w:ascii="Tahoma" w:hAnsi="Tahoma" w:cs="Tahoma"/>
          <w:sz w:val="20"/>
          <w:szCs w:val="20"/>
          <w:lang w:val="es-ES_tradnl"/>
        </w:rPr>
        <w:t xml:space="preserve">En esa línea de análisis tenemos que, las normas de contratación pública exigen de modo imperativo, por un lado, que las personas naturales o jurídicas que pretendan participar en un proceso de selección tengan  </w:t>
      </w:r>
      <w:r w:rsidRPr="00371B91">
        <w:rPr>
          <w:rFonts w:ascii="Tahoma" w:hAnsi="Tahoma" w:cs="Tahoma"/>
          <w:b/>
          <w:sz w:val="20"/>
          <w:szCs w:val="20"/>
          <w:lang w:val="es-ES_tradnl"/>
        </w:rPr>
        <w:t>inscripción vigente en el Registro Nacional de Proveedores</w:t>
      </w:r>
      <w:r w:rsidRPr="00371B91">
        <w:rPr>
          <w:rFonts w:ascii="Tahoma" w:hAnsi="Tahoma" w:cs="Tahoma"/>
          <w:sz w:val="20"/>
          <w:szCs w:val="20"/>
          <w:lang w:val="es-ES_tradnl"/>
        </w:rPr>
        <w:t xml:space="preserve">, dado que sólo así pueden tener la condición de postores habilitados, y por el otro, que aquellos postores que deseen participar en un proceso de selección, deberán </w:t>
      </w:r>
      <w:r w:rsidRPr="00371B91">
        <w:rPr>
          <w:rFonts w:ascii="Tahoma" w:hAnsi="Tahoma" w:cs="Tahoma"/>
          <w:sz w:val="20"/>
          <w:szCs w:val="20"/>
          <w:lang w:val="es-ES_tradnl"/>
        </w:rPr>
        <w:lastRenderedPageBreak/>
        <w:t xml:space="preserve">registrarse como participantes conforme a las reglas establecidas en la Bases, para cuyo efecto acreditarán tener inscripción vigente en el Registro Nacional de Proveedores </w:t>
      </w:r>
      <w:r w:rsidRPr="00371B91">
        <w:rPr>
          <w:rFonts w:ascii="Tahoma" w:hAnsi="Tahoma" w:cs="Tahoma"/>
          <w:b/>
          <w:sz w:val="20"/>
          <w:szCs w:val="20"/>
          <w:lang w:val="es-ES_tradnl"/>
        </w:rPr>
        <w:t>conforme al objeto contractual</w:t>
      </w:r>
      <w:r w:rsidRPr="00371B91">
        <w:rPr>
          <w:rStyle w:val="Refdenotaalpie"/>
          <w:rFonts w:ascii="Tahoma" w:hAnsi="Tahoma" w:cs="Tahoma"/>
          <w:b/>
          <w:sz w:val="20"/>
          <w:szCs w:val="20"/>
          <w:lang w:val="es-ES_tradnl"/>
        </w:rPr>
        <w:footnoteReference w:id="5"/>
      </w:r>
      <w:r w:rsidRPr="00371B91">
        <w:rPr>
          <w:rFonts w:ascii="Tahoma" w:hAnsi="Tahoma" w:cs="Tahoma"/>
          <w:sz w:val="20"/>
          <w:szCs w:val="20"/>
          <w:lang w:val="es-ES_tradnl"/>
        </w:rPr>
        <w:t>.</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widowControl w:val="0"/>
        <w:numPr>
          <w:ilvl w:val="0"/>
          <w:numId w:val="37"/>
        </w:numPr>
        <w:tabs>
          <w:tab w:val="clear" w:pos="360"/>
          <w:tab w:val="left" w:pos="709"/>
        </w:tabs>
        <w:suppressAutoHyphens/>
        <w:autoSpaceDE w:val="0"/>
        <w:autoSpaceDN w:val="0"/>
        <w:adjustRightInd w:val="0"/>
        <w:spacing w:after="0"/>
        <w:ind w:left="567" w:hanging="567"/>
        <w:jc w:val="both"/>
        <w:rPr>
          <w:rFonts w:ascii="Tahoma" w:hAnsi="Tahoma" w:cs="Tahoma"/>
          <w:sz w:val="20"/>
          <w:szCs w:val="20"/>
        </w:rPr>
      </w:pPr>
      <w:r w:rsidRPr="00371B91">
        <w:rPr>
          <w:rFonts w:ascii="Tahoma" w:hAnsi="Tahoma" w:cs="Tahoma"/>
          <w:sz w:val="20"/>
          <w:szCs w:val="20"/>
        </w:rPr>
        <w:t xml:space="preserve">Ahora bien, a fin de verificar si la actuación del Postor al haber participado en el presente proceso de selección sin contar con inscripción vigente en el Registro Nacional de proveedores se encontraría inmerso en la causal de sanción tipificada en el literal e) del numeral 51.1 del artículo 51 de la Ley, cabe analizar en primer lugar, el objeto contractual de las Bases Administrativas de la Competencia Menor № CME-0097-2010-OFP/PETROPERU; y en segundo, si a la fecha de presentación de las propuestas, es decir, para el 13 de septiembre de 2010, el Postor contaba con </w:t>
      </w:r>
      <w:r w:rsidRPr="00371B91">
        <w:rPr>
          <w:rFonts w:ascii="Tahoma" w:hAnsi="Tahoma" w:cs="Tahoma"/>
          <w:sz w:val="20"/>
          <w:szCs w:val="20"/>
          <w:u w:val="single"/>
        </w:rPr>
        <w:t xml:space="preserve">inscripción vigente en el </w:t>
      </w:r>
      <w:r w:rsidRPr="00371B91">
        <w:rPr>
          <w:rFonts w:ascii="Tahoma" w:hAnsi="Tahoma" w:cs="Tahoma"/>
          <w:b/>
          <w:sz w:val="20"/>
          <w:szCs w:val="20"/>
          <w:u w:val="single"/>
        </w:rPr>
        <w:t>registro correspondiente</w:t>
      </w:r>
      <w:r w:rsidRPr="00371B91">
        <w:rPr>
          <w:rFonts w:ascii="Tahoma" w:hAnsi="Tahoma" w:cs="Tahoma"/>
          <w:sz w:val="20"/>
          <w:szCs w:val="20"/>
          <w:u w:val="single"/>
        </w:rPr>
        <w:t xml:space="preserve"> del Registro Nacional de Proveedores</w:t>
      </w:r>
      <w:r w:rsidRPr="00371B91">
        <w:rPr>
          <w:rFonts w:ascii="Tahoma" w:hAnsi="Tahoma" w:cs="Tahoma"/>
          <w:sz w:val="20"/>
          <w:szCs w:val="20"/>
        </w:rPr>
        <w:t xml:space="preserve">. </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widowControl w:val="0"/>
        <w:numPr>
          <w:ilvl w:val="0"/>
          <w:numId w:val="37"/>
        </w:numPr>
        <w:tabs>
          <w:tab w:val="clear" w:pos="360"/>
          <w:tab w:val="left" w:pos="709"/>
        </w:tabs>
        <w:suppressAutoHyphens/>
        <w:autoSpaceDE w:val="0"/>
        <w:autoSpaceDN w:val="0"/>
        <w:adjustRightInd w:val="0"/>
        <w:spacing w:after="0"/>
        <w:ind w:left="567" w:hanging="567"/>
        <w:jc w:val="both"/>
        <w:rPr>
          <w:rFonts w:ascii="Tahoma" w:hAnsi="Tahoma" w:cs="Tahoma"/>
          <w:sz w:val="20"/>
          <w:szCs w:val="20"/>
        </w:rPr>
      </w:pPr>
      <w:r w:rsidRPr="00371B91">
        <w:rPr>
          <w:rFonts w:ascii="Tahoma" w:hAnsi="Tahoma" w:cs="Tahoma"/>
          <w:sz w:val="20"/>
          <w:szCs w:val="20"/>
        </w:rPr>
        <w:t xml:space="preserve">En ese orden de ideas, el numeral 1 de las Bases Administrativas de la Competencia Menor № CME-0097-2010-OFP/PETROPERU señalaron que el objeto de la convocatoria sería el “Servicio de consultoría elaboración de expediente técnico para la renovación del sistema de desagüe de la Entidad”. Asimismo, en el numeral 3.5 de los términos de referencia de las mencionadas bases, se consignó que el postor ganador de la Buena Pro debería entregar como parte de su trabajo lo siguiente: (i) Informe Técnico que incluya el Rediseño Integral del Sistema de Desagüe de la Entidad; y (ii) </w:t>
      </w:r>
      <w:r w:rsidRPr="00371B91">
        <w:rPr>
          <w:rFonts w:ascii="Tahoma" w:hAnsi="Tahoma" w:cs="Tahoma"/>
          <w:b/>
          <w:sz w:val="20"/>
          <w:szCs w:val="20"/>
        </w:rPr>
        <w:t xml:space="preserve">Expediente Técnico </w:t>
      </w:r>
      <w:r w:rsidRPr="00371B91">
        <w:rPr>
          <w:rFonts w:ascii="Tahoma" w:hAnsi="Tahoma" w:cs="Tahoma"/>
          <w:sz w:val="20"/>
          <w:szCs w:val="20"/>
        </w:rPr>
        <w:t xml:space="preserve">que permita contratar la ejecución de la </w:t>
      </w:r>
      <w:r w:rsidRPr="00371B91">
        <w:rPr>
          <w:rFonts w:ascii="Tahoma" w:hAnsi="Tahoma" w:cs="Tahoma"/>
          <w:b/>
          <w:sz w:val="20"/>
          <w:szCs w:val="20"/>
        </w:rPr>
        <w:t>renovación del sistema Integral de Desagüe de la Entidad</w:t>
      </w:r>
      <w:r w:rsidRPr="00371B91">
        <w:rPr>
          <w:rFonts w:ascii="Tahoma" w:hAnsi="Tahoma" w:cs="Tahoma"/>
          <w:sz w:val="20"/>
          <w:szCs w:val="20"/>
        </w:rPr>
        <w:t>. (el negrita es nuestro).</w:t>
      </w:r>
    </w:p>
    <w:p w:rsidR="00371B91" w:rsidRPr="00371B91" w:rsidRDefault="00371B91" w:rsidP="00371B91">
      <w:pPr>
        <w:ind w:left="360"/>
        <w:jc w:val="both"/>
        <w:rPr>
          <w:rFonts w:ascii="Tahoma" w:hAnsi="Tahoma" w:cs="Tahoma"/>
          <w:sz w:val="20"/>
          <w:szCs w:val="20"/>
          <w:lang w:val="es-PE"/>
        </w:rPr>
      </w:pPr>
    </w:p>
    <w:p w:rsidR="00371B91" w:rsidRPr="00371B91" w:rsidRDefault="00371B91" w:rsidP="00371B91">
      <w:pPr>
        <w:ind w:left="567"/>
        <w:jc w:val="both"/>
        <w:rPr>
          <w:rFonts w:ascii="Tahoma" w:hAnsi="Tahoma" w:cs="Tahoma"/>
          <w:sz w:val="20"/>
          <w:szCs w:val="20"/>
          <w:lang w:val="es-PE"/>
        </w:rPr>
      </w:pPr>
      <w:r w:rsidRPr="00371B91">
        <w:rPr>
          <w:rFonts w:ascii="Tahoma" w:hAnsi="Tahoma" w:cs="Tahoma"/>
          <w:sz w:val="20"/>
          <w:szCs w:val="20"/>
          <w:lang w:val="es-PE"/>
        </w:rPr>
        <w:t xml:space="preserve">El objeto del proceso de selección fue considerado como servicios conforme a la ficha de convocatoria del Sistema Electrónico de Contrataciones del Estado (SEACE). </w:t>
      </w:r>
    </w:p>
    <w:p w:rsidR="00371B91" w:rsidRPr="00371B91" w:rsidRDefault="00371B91" w:rsidP="00371B91">
      <w:pPr>
        <w:pStyle w:val="Textoindependiente"/>
        <w:widowControl w:val="0"/>
        <w:tabs>
          <w:tab w:val="left" w:pos="709"/>
        </w:tabs>
        <w:suppressAutoHyphens/>
        <w:autoSpaceDE w:val="0"/>
        <w:autoSpaceDN w:val="0"/>
        <w:adjustRightInd w:val="0"/>
        <w:spacing w:after="0"/>
        <w:ind w:left="567"/>
        <w:jc w:val="both"/>
        <w:rPr>
          <w:rFonts w:ascii="Tahoma" w:hAnsi="Tahoma" w:cs="Tahoma"/>
          <w:sz w:val="20"/>
          <w:szCs w:val="20"/>
        </w:rPr>
      </w:pPr>
    </w:p>
    <w:p w:rsidR="00371B91" w:rsidRPr="00371B91" w:rsidRDefault="00371B91" w:rsidP="00371B91">
      <w:pPr>
        <w:pStyle w:val="Textoindependiente"/>
        <w:widowControl w:val="0"/>
        <w:numPr>
          <w:ilvl w:val="0"/>
          <w:numId w:val="37"/>
        </w:numPr>
        <w:tabs>
          <w:tab w:val="clear" w:pos="360"/>
          <w:tab w:val="left" w:pos="709"/>
        </w:tabs>
        <w:suppressAutoHyphens/>
        <w:autoSpaceDE w:val="0"/>
        <w:autoSpaceDN w:val="0"/>
        <w:adjustRightInd w:val="0"/>
        <w:spacing w:after="0"/>
        <w:ind w:left="567" w:hanging="567"/>
        <w:jc w:val="both"/>
        <w:rPr>
          <w:rFonts w:ascii="Tahoma" w:hAnsi="Tahoma" w:cs="Tahoma"/>
          <w:sz w:val="20"/>
          <w:szCs w:val="20"/>
        </w:rPr>
      </w:pPr>
      <w:r w:rsidRPr="00371B91">
        <w:rPr>
          <w:rFonts w:ascii="Tahoma" w:hAnsi="Tahoma" w:cs="Tahoma"/>
          <w:sz w:val="20"/>
          <w:szCs w:val="20"/>
        </w:rPr>
        <w:t>En ese sentido, cabe precisar que de acuerdo al numeral 48 del Anexo de Definiciones del Reglamento, se define servicios en general a la “</w:t>
      </w:r>
      <w:r w:rsidRPr="00371B91">
        <w:rPr>
          <w:rFonts w:ascii="Tahoma" w:hAnsi="Tahoma" w:cs="Tahoma"/>
          <w:i/>
          <w:sz w:val="20"/>
          <w:szCs w:val="20"/>
        </w:rPr>
        <w:t>actividad o labor que realiza una persona natural o jurídica para atender una necesidad de la Entidad, pudiendo estar sujeta a resultados para considerar terminas prestaciones”</w:t>
      </w:r>
      <w:r w:rsidRPr="00371B91">
        <w:rPr>
          <w:rFonts w:ascii="Tahoma" w:hAnsi="Tahoma" w:cs="Tahoma"/>
          <w:sz w:val="20"/>
          <w:szCs w:val="20"/>
        </w:rPr>
        <w:t>.</w:t>
      </w:r>
    </w:p>
    <w:p w:rsidR="00371B91" w:rsidRPr="00371B91" w:rsidRDefault="00371B91" w:rsidP="00371B91">
      <w:pPr>
        <w:pStyle w:val="Textoindependiente"/>
        <w:widowControl w:val="0"/>
        <w:tabs>
          <w:tab w:val="left" w:pos="709"/>
        </w:tabs>
        <w:suppressAutoHyphens/>
        <w:autoSpaceDE w:val="0"/>
        <w:autoSpaceDN w:val="0"/>
        <w:adjustRightInd w:val="0"/>
        <w:spacing w:after="0"/>
        <w:ind w:left="567"/>
        <w:jc w:val="both"/>
        <w:rPr>
          <w:rFonts w:ascii="Tahoma" w:hAnsi="Tahoma" w:cs="Tahoma"/>
          <w:sz w:val="20"/>
          <w:szCs w:val="20"/>
        </w:rPr>
      </w:pPr>
    </w:p>
    <w:p w:rsidR="00371B91" w:rsidRPr="00371B91" w:rsidRDefault="00371B91" w:rsidP="00371B91">
      <w:pPr>
        <w:pStyle w:val="Textoindependiente"/>
        <w:widowControl w:val="0"/>
        <w:numPr>
          <w:ilvl w:val="0"/>
          <w:numId w:val="37"/>
        </w:numPr>
        <w:tabs>
          <w:tab w:val="clear" w:pos="360"/>
          <w:tab w:val="left" w:pos="709"/>
        </w:tabs>
        <w:suppressAutoHyphens/>
        <w:autoSpaceDE w:val="0"/>
        <w:autoSpaceDN w:val="0"/>
        <w:adjustRightInd w:val="0"/>
        <w:spacing w:after="0"/>
        <w:ind w:left="567" w:hanging="567"/>
        <w:jc w:val="both"/>
        <w:rPr>
          <w:rFonts w:ascii="Tahoma" w:hAnsi="Tahoma" w:cs="Tahoma"/>
          <w:sz w:val="20"/>
          <w:szCs w:val="20"/>
        </w:rPr>
      </w:pPr>
      <w:r w:rsidRPr="00371B91">
        <w:rPr>
          <w:rFonts w:ascii="Tahoma" w:hAnsi="Tahoma" w:cs="Tahoma"/>
          <w:sz w:val="20"/>
          <w:szCs w:val="20"/>
        </w:rPr>
        <w:t xml:space="preserve">Así, también, resulta necesario traer a colación que el numeral 11 del Anexo de Definiciones del Reglamento, define al consultor de obra como </w:t>
      </w:r>
      <w:r w:rsidRPr="00371B91">
        <w:rPr>
          <w:rFonts w:ascii="Tahoma" w:hAnsi="Tahoma" w:cs="Tahoma"/>
          <w:i/>
          <w:sz w:val="20"/>
          <w:szCs w:val="20"/>
        </w:rPr>
        <w:t xml:space="preserve">“la persona natural o jurídica </w:t>
      </w:r>
      <w:r w:rsidRPr="00371B91">
        <w:rPr>
          <w:rFonts w:ascii="Tahoma" w:hAnsi="Tahoma" w:cs="Tahoma"/>
          <w:i/>
          <w:sz w:val="20"/>
          <w:szCs w:val="20"/>
          <w:u w:val="single"/>
        </w:rPr>
        <w:t>que presta servicios</w:t>
      </w:r>
      <w:r w:rsidRPr="00371B91">
        <w:rPr>
          <w:rFonts w:ascii="Tahoma" w:hAnsi="Tahoma" w:cs="Tahoma"/>
          <w:i/>
          <w:sz w:val="20"/>
          <w:szCs w:val="20"/>
        </w:rPr>
        <w:t xml:space="preserve"> profesionales altamente calificados consistentes en </w:t>
      </w:r>
      <w:r w:rsidRPr="00371B91">
        <w:rPr>
          <w:rFonts w:ascii="Tahoma" w:hAnsi="Tahoma" w:cs="Tahoma"/>
          <w:i/>
          <w:sz w:val="20"/>
          <w:szCs w:val="20"/>
          <w:u w:val="single"/>
        </w:rPr>
        <w:t>la elaboración del expediente técnico de obras</w:t>
      </w:r>
      <w:r w:rsidRPr="00371B91">
        <w:rPr>
          <w:rFonts w:ascii="Tahoma" w:hAnsi="Tahoma" w:cs="Tahoma"/>
          <w:i/>
          <w:sz w:val="20"/>
          <w:szCs w:val="20"/>
        </w:rPr>
        <w:t>, así como en la supervisión de obras.”</w:t>
      </w:r>
      <w:r w:rsidRPr="00371B91">
        <w:rPr>
          <w:rFonts w:ascii="Tahoma" w:hAnsi="Tahoma" w:cs="Tahoma"/>
          <w:sz w:val="20"/>
          <w:szCs w:val="20"/>
        </w:rPr>
        <w:t xml:space="preserve"> (El subrayado es agregado). </w:t>
      </w:r>
    </w:p>
    <w:p w:rsidR="00371B91" w:rsidRPr="00371B91" w:rsidRDefault="00371B91" w:rsidP="00371B91">
      <w:pPr>
        <w:pStyle w:val="Prrafodelista"/>
        <w:rPr>
          <w:rFonts w:ascii="Tahoma" w:hAnsi="Tahoma" w:cs="Tahoma"/>
        </w:rPr>
      </w:pPr>
    </w:p>
    <w:p w:rsidR="00371B91" w:rsidRPr="00371B91" w:rsidRDefault="00371B91" w:rsidP="00371B91">
      <w:pPr>
        <w:pStyle w:val="Textoindependiente"/>
        <w:widowControl w:val="0"/>
        <w:tabs>
          <w:tab w:val="left" w:pos="709"/>
        </w:tabs>
        <w:suppressAutoHyphens/>
        <w:autoSpaceDE w:val="0"/>
        <w:autoSpaceDN w:val="0"/>
        <w:adjustRightInd w:val="0"/>
        <w:spacing w:after="0"/>
        <w:ind w:left="567"/>
        <w:jc w:val="both"/>
        <w:rPr>
          <w:rFonts w:ascii="Tahoma" w:hAnsi="Tahoma" w:cs="Tahoma"/>
          <w:sz w:val="20"/>
          <w:szCs w:val="20"/>
          <w:lang w:val="es-PE"/>
        </w:rPr>
      </w:pPr>
      <w:r w:rsidRPr="00371B91">
        <w:rPr>
          <w:rFonts w:ascii="Tahoma" w:hAnsi="Tahoma" w:cs="Tahoma"/>
          <w:sz w:val="20"/>
          <w:szCs w:val="20"/>
        </w:rPr>
        <w:t xml:space="preserve">Del mismo modo, </w:t>
      </w:r>
      <w:r w:rsidRPr="00371B91">
        <w:rPr>
          <w:rFonts w:ascii="Tahoma" w:hAnsi="Tahoma" w:cs="Tahoma"/>
          <w:sz w:val="20"/>
          <w:szCs w:val="20"/>
          <w:lang w:val="es-PE"/>
        </w:rPr>
        <w:t xml:space="preserve">debe tenerse en cuenta que conforme al Anexo de Definiciones del Reglamento, se considera obra a la </w:t>
      </w:r>
      <w:r w:rsidRPr="00371B91">
        <w:rPr>
          <w:rFonts w:ascii="Tahoma" w:hAnsi="Tahoma" w:cs="Tahoma"/>
          <w:i/>
          <w:sz w:val="20"/>
          <w:szCs w:val="20"/>
          <w:lang w:val="es-PE"/>
        </w:rPr>
        <w:t xml:space="preserve">“Construcción, reconstrucción, remodelación, demolición, </w:t>
      </w:r>
      <w:r w:rsidRPr="00371B91">
        <w:rPr>
          <w:rFonts w:ascii="Tahoma" w:hAnsi="Tahoma" w:cs="Tahoma"/>
          <w:b/>
          <w:i/>
          <w:sz w:val="20"/>
          <w:szCs w:val="20"/>
          <w:lang w:val="es-PE"/>
        </w:rPr>
        <w:t xml:space="preserve">renovación </w:t>
      </w:r>
      <w:r w:rsidRPr="00371B91">
        <w:rPr>
          <w:rFonts w:ascii="Tahoma" w:hAnsi="Tahoma" w:cs="Tahoma"/>
          <w:i/>
          <w:sz w:val="20"/>
          <w:szCs w:val="20"/>
          <w:lang w:val="es-PE"/>
        </w:rPr>
        <w:t xml:space="preserve">y habilitación de bienes inmuebles, tales como edificaciones, estructuras, excavaciones, perforaciones, carreteras, puentes, entre otros, </w:t>
      </w:r>
      <w:r w:rsidRPr="00371B91">
        <w:rPr>
          <w:rFonts w:ascii="Tahoma" w:hAnsi="Tahoma" w:cs="Tahoma"/>
          <w:b/>
          <w:i/>
          <w:sz w:val="20"/>
          <w:szCs w:val="20"/>
          <w:lang w:val="es-PE"/>
        </w:rPr>
        <w:t>que requieren</w:t>
      </w:r>
      <w:r w:rsidRPr="00371B91">
        <w:rPr>
          <w:rFonts w:ascii="Tahoma" w:hAnsi="Tahoma" w:cs="Tahoma"/>
          <w:i/>
          <w:sz w:val="20"/>
          <w:szCs w:val="20"/>
          <w:lang w:val="es-PE"/>
        </w:rPr>
        <w:t xml:space="preserve"> dirección técnica, </w:t>
      </w:r>
      <w:r w:rsidRPr="00371B91">
        <w:rPr>
          <w:rFonts w:ascii="Tahoma" w:hAnsi="Tahoma" w:cs="Tahoma"/>
          <w:b/>
          <w:i/>
          <w:sz w:val="20"/>
          <w:szCs w:val="20"/>
          <w:lang w:val="es-PE"/>
        </w:rPr>
        <w:t>expediente técnico</w:t>
      </w:r>
      <w:r w:rsidRPr="00371B91">
        <w:rPr>
          <w:rFonts w:ascii="Tahoma" w:hAnsi="Tahoma" w:cs="Tahoma"/>
          <w:i/>
          <w:sz w:val="20"/>
          <w:szCs w:val="20"/>
          <w:lang w:val="es-PE"/>
        </w:rPr>
        <w:t xml:space="preserve">, mano de obra, materiales y/o equipos.” </w:t>
      </w:r>
      <w:r w:rsidRPr="00371B91">
        <w:rPr>
          <w:rFonts w:ascii="Tahoma" w:hAnsi="Tahoma" w:cs="Tahoma"/>
          <w:sz w:val="20"/>
          <w:szCs w:val="20"/>
          <w:lang w:val="es-PE"/>
        </w:rPr>
        <w:t>(El negrita es nuestro)</w:t>
      </w:r>
    </w:p>
    <w:p w:rsidR="00371B91" w:rsidRPr="00371B91" w:rsidRDefault="00371B91" w:rsidP="00371B91">
      <w:pPr>
        <w:jc w:val="both"/>
        <w:rPr>
          <w:rFonts w:ascii="Tahoma" w:hAnsi="Tahoma" w:cs="Tahoma"/>
          <w:sz w:val="20"/>
          <w:szCs w:val="20"/>
          <w:lang w:val="es-PE"/>
        </w:rPr>
      </w:pPr>
    </w:p>
    <w:p w:rsidR="00371B91" w:rsidRPr="00371B91" w:rsidRDefault="00371B91" w:rsidP="00371B91">
      <w:pPr>
        <w:ind w:left="567"/>
        <w:jc w:val="both"/>
        <w:rPr>
          <w:rFonts w:ascii="Tahoma" w:hAnsi="Tahoma" w:cs="Tahoma"/>
          <w:sz w:val="20"/>
          <w:szCs w:val="20"/>
        </w:rPr>
      </w:pPr>
      <w:r w:rsidRPr="00371B91">
        <w:rPr>
          <w:rFonts w:ascii="Tahoma" w:hAnsi="Tahoma" w:cs="Tahoma"/>
          <w:sz w:val="20"/>
          <w:szCs w:val="20"/>
        </w:rPr>
        <w:lastRenderedPageBreak/>
        <w:t xml:space="preserve">De ello se desprende que, en el ámbito de las contrataciones del Estado, la consultoría de obras puede consistir, únicamente, en: (i) </w:t>
      </w:r>
      <w:r w:rsidRPr="00371B91">
        <w:rPr>
          <w:rFonts w:ascii="Tahoma" w:hAnsi="Tahoma" w:cs="Tahoma"/>
          <w:b/>
          <w:sz w:val="20"/>
          <w:szCs w:val="20"/>
        </w:rPr>
        <w:t>la elaboración del expediente técnico de obra</w:t>
      </w:r>
      <w:r w:rsidRPr="00371B91">
        <w:rPr>
          <w:rFonts w:ascii="Tahoma" w:hAnsi="Tahoma" w:cs="Tahoma"/>
          <w:sz w:val="20"/>
          <w:szCs w:val="20"/>
        </w:rPr>
        <w:t>; o (ii) la prestación del servicio de supervisión de obras.</w:t>
      </w:r>
    </w:p>
    <w:p w:rsidR="00371B91" w:rsidRPr="00371B91" w:rsidRDefault="00371B91" w:rsidP="00371B91">
      <w:pPr>
        <w:pStyle w:val="Prrafodelista"/>
        <w:ind w:left="360"/>
        <w:jc w:val="both"/>
        <w:rPr>
          <w:rFonts w:ascii="Tahoma" w:hAnsi="Tahoma" w:cs="Tahoma"/>
        </w:rPr>
      </w:pPr>
    </w:p>
    <w:p w:rsidR="00371B91" w:rsidRPr="00371B91" w:rsidRDefault="00371B91" w:rsidP="00371B91">
      <w:pPr>
        <w:pStyle w:val="Prrafodelista"/>
        <w:ind w:left="567"/>
        <w:jc w:val="both"/>
        <w:rPr>
          <w:rFonts w:ascii="Tahoma" w:hAnsi="Tahoma" w:cs="Tahoma"/>
        </w:rPr>
      </w:pPr>
      <w:r w:rsidRPr="00371B91">
        <w:rPr>
          <w:rFonts w:ascii="Tahoma" w:hAnsi="Tahoma" w:cs="Tahoma"/>
        </w:rPr>
        <w:t>No obstante, ambos tipos de prestación presentan características diferenciadas atendiendo, principalmente, al tipo de obligación que los contratistas asumen</w:t>
      </w:r>
      <w:r w:rsidRPr="00371B91">
        <w:rPr>
          <w:rStyle w:val="Refdenotaalpie"/>
          <w:rFonts w:ascii="Tahoma" w:hAnsi="Tahoma" w:cs="Tahoma"/>
        </w:rPr>
        <w:footnoteReference w:id="6"/>
      </w:r>
      <w:r w:rsidRPr="00371B91">
        <w:rPr>
          <w:rFonts w:ascii="Tahoma" w:hAnsi="Tahoma" w:cs="Tahoma"/>
        </w:rPr>
        <w:t xml:space="preserve"> o a la forma de ejecución del contrato, aspecto que resulta necesario delimitar.</w:t>
      </w:r>
    </w:p>
    <w:p w:rsidR="00371B91" w:rsidRPr="00371B91" w:rsidRDefault="00371B91" w:rsidP="00371B91">
      <w:pPr>
        <w:pStyle w:val="Prrafodelista"/>
        <w:rPr>
          <w:rFonts w:ascii="Tahoma" w:hAnsi="Tahoma" w:cs="Tahoma"/>
        </w:rPr>
      </w:pPr>
    </w:p>
    <w:p w:rsidR="00371B91" w:rsidRPr="00371B91" w:rsidRDefault="00371B91" w:rsidP="00371B91">
      <w:pPr>
        <w:pStyle w:val="Prrafodelista"/>
        <w:widowControl w:val="0"/>
        <w:numPr>
          <w:ilvl w:val="0"/>
          <w:numId w:val="37"/>
        </w:numPr>
        <w:tabs>
          <w:tab w:val="clear" w:pos="360"/>
          <w:tab w:val="num" w:pos="567"/>
          <w:tab w:val="left" w:pos="709"/>
        </w:tabs>
        <w:suppressAutoHyphens/>
        <w:ind w:left="567" w:hanging="567"/>
        <w:jc w:val="both"/>
        <w:rPr>
          <w:rFonts w:ascii="Tahoma" w:hAnsi="Tahoma" w:cs="Tahoma"/>
        </w:rPr>
      </w:pPr>
      <w:r w:rsidRPr="00371B91">
        <w:rPr>
          <w:rFonts w:ascii="Tahoma" w:hAnsi="Tahoma" w:cs="Tahoma"/>
        </w:rPr>
        <w:t>Así, las cosas, queda claro el objeto contractual correspondería a la consultoría de obra, en tanto el postor ganador de la Buena Pro se obligaba a la elaboración de un expediente técnico para la renovación del sistema de desagüe de la Oficina Principal de Petroperú, realizando entre otros, memoria descriptiva, metrado base, especificaciones técnicas, planos</w:t>
      </w:r>
      <w:r w:rsidRPr="00371B91">
        <w:rPr>
          <w:rStyle w:val="Refdenotaalpie"/>
          <w:rFonts w:ascii="Tahoma" w:hAnsi="Tahoma" w:cs="Tahoma"/>
        </w:rPr>
        <w:footnoteReference w:id="7"/>
      </w:r>
      <w:r w:rsidRPr="00371B91">
        <w:rPr>
          <w:rFonts w:ascii="Tahoma" w:hAnsi="Tahoma" w:cs="Tahoma"/>
        </w:rPr>
        <w:t>. De ello, se desprende que la Entidad incurrió en un vicio insubsanable al momento de determinar el objeto del proceso de selección, el cual ha determinado que, a su vez, descalifique la propuesta técnica del Postor presentada en el presente proceso de selección. De esta manera, se puede concluir que la actuación de la Entidad no condice lo descrito en la normativa, hecho que debe ser puesto en conocimiento del Órgano de Control Institucional de la Entidad, para que adopte las medidas que considere pertinentes.</w:t>
      </w:r>
    </w:p>
    <w:p w:rsidR="00371B91" w:rsidRPr="00371B91" w:rsidRDefault="00371B91" w:rsidP="00371B91">
      <w:pPr>
        <w:pStyle w:val="Prrafodelista"/>
        <w:widowControl w:val="0"/>
        <w:tabs>
          <w:tab w:val="left" w:pos="709"/>
        </w:tabs>
        <w:suppressAutoHyphens/>
        <w:ind w:left="567"/>
        <w:jc w:val="both"/>
        <w:rPr>
          <w:rFonts w:ascii="Tahoma" w:hAnsi="Tahoma" w:cs="Tahoma"/>
        </w:rPr>
      </w:pPr>
    </w:p>
    <w:p w:rsidR="00371B91" w:rsidRPr="00371B91" w:rsidRDefault="00371B91" w:rsidP="00371B91">
      <w:pPr>
        <w:pStyle w:val="Prrafodelista"/>
        <w:widowControl w:val="0"/>
        <w:numPr>
          <w:ilvl w:val="0"/>
          <w:numId w:val="37"/>
        </w:numPr>
        <w:tabs>
          <w:tab w:val="clear" w:pos="360"/>
          <w:tab w:val="num" w:pos="567"/>
          <w:tab w:val="left" w:pos="709"/>
        </w:tabs>
        <w:suppressAutoHyphens/>
        <w:ind w:left="567" w:hanging="567"/>
        <w:jc w:val="both"/>
        <w:rPr>
          <w:rFonts w:ascii="Tahoma" w:hAnsi="Tahoma" w:cs="Tahoma"/>
        </w:rPr>
      </w:pPr>
      <w:r w:rsidRPr="00371B91">
        <w:rPr>
          <w:rFonts w:ascii="Tahoma" w:hAnsi="Tahoma" w:cs="Tahoma"/>
        </w:rPr>
        <w:t xml:space="preserve">Con atención a lo anterior, estando que el objeto del presente de selección estaba referido a la consultoría de obras, </w:t>
      </w:r>
      <w:r w:rsidRPr="00371B91">
        <w:rPr>
          <w:rFonts w:ascii="Tahoma" w:hAnsi="Tahoma" w:cs="Tahoma"/>
          <w:lang w:val="es-ES_tradnl"/>
        </w:rPr>
        <w:t xml:space="preserve">el Postor a fin de participar en el referido proceso de selección debió tener inscripción en el Registro de Consultores de Obras del Registro Nacional de Proveedores. </w:t>
      </w:r>
      <w:r w:rsidRPr="00371B91">
        <w:rPr>
          <w:rFonts w:ascii="Tahoma" w:hAnsi="Tahoma" w:cs="Tahoma"/>
        </w:rPr>
        <w:t>Del mismo modo, dicha inscripción debió estar vigente en el mencionado registro</w:t>
      </w:r>
      <w:r w:rsidRPr="00371B91">
        <w:rPr>
          <w:rFonts w:ascii="Tahoma" w:hAnsi="Tahoma" w:cs="Tahoma"/>
          <w:lang w:val="es-ES_tradnl"/>
        </w:rPr>
        <w:t>, puesto que sólo así puede tener la condición de postor habilitado. La acreditación de dicha condición debe constar en la respectiva propuesta técnica.</w:t>
      </w:r>
    </w:p>
    <w:p w:rsidR="00371B91" w:rsidRPr="00371B91" w:rsidRDefault="00371B91" w:rsidP="00371B91">
      <w:pPr>
        <w:pStyle w:val="Prrafodelista1"/>
        <w:widowControl w:val="0"/>
        <w:tabs>
          <w:tab w:val="left" w:pos="709"/>
        </w:tabs>
        <w:suppressAutoHyphens/>
        <w:ind w:left="567"/>
        <w:rPr>
          <w:rFonts w:eastAsia="Calibri"/>
          <w:sz w:val="20"/>
          <w:szCs w:val="20"/>
        </w:rPr>
      </w:pPr>
    </w:p>
    <w:p w:rsidR="00371B91" w:rsidRPr="00371B91" w:rsidRDefault="00371B91" w:rsidP="00371B91">
      <w:pPr>
        <w:pStyle w:val="Prrafodelista1"/>
        <w:widowControl w:val="0"/>
        <w:numPr>
          <w:ilvl w:val="0"/>
          <w:numId w:val="37"/>
        </w:numPr>
        <w:tabs>
          <w:tab w:val="clear" w:pos="360"/>
          <w:tab w:val="num" w:pos="567"/>
          <w:tab w:val="left" w:pos="709"/>
        </w:tabs>
        <w:suppressAutoHyphens/>
        <w:ind w:left="567" w:hanging="567"/>
        <w:rPr>
          <w:sz w:val="20"/>
          <w:szCs w:val="20"/>
          <w:lang w:eastAsia="es-ES"/>
        </w:rPr>
      </w:pPr>
      <w:r w:rsidRPr="00371B91">
        <w:rPr>
          <w:rFonts w:eastAsia="Calibri"/>
          <w:sz w:val="20"/>
          <w:szCs w:val="20"/>
        </w:rPr>
        <w:t xml:space="preserve">En razón a ello, fluye de la documentación obrante en autos, </w:t>
      </w:r>
      <w:r w:rsidRPr="00371B91">
        <w:rPr>
          <w:sz w:val="20"/>
          <w:szCs w:val="20"/>
          <w:lang w:eastAsia="es-ES"/>
        </w:rPr>
        <w:t xml:space="preserve">que </w:t>
      </w:r>
      <w:r w:rsidRPr="00371B91">
        <w:rPr>
          <w:sz w:val="20"/>
          <w:szCs w:val="20"/>
        </w:rPr>
        <w:t xml:space="preserve">el </w:t>
      </w:r>
      <w:r w:rsidRPr="00371B91">
        <w:rPr>
          <w:rFonts w:eastAsia="Calibri"/>
          <w:sz w:val="20"/>
          <w:szCs w:val="20"/>
        </w:rPr>
        <w:t xml:space="preserve">Postor adjuntó a su propuesta técnica, la copia simple del certificado de inscripción en el registro de Consultores de Obras del Registro Nacional de Proveedores, vigente desde el 07 de noviembre de 2009 hasta el 07 de noviembre de 2010. </w:t>
      </w:r>
    </w:p>
    <w:p w:rsidR="00371B91" w:rsidRPr="00371B91" w:rsidRDefault="00371B91" w:rsidP="00371B91">
      <w:pPr>
        <w:pStyle w:val="Prrafodelista"/>
        <w:widowControl w:val="0"/>
        <w:tabs>
          <w:tab w:val="left" w:pos="709"/>
        </w:tabs>
        <w:suppressAutoHyphens/>
        <w:ind w:left="567"/>
        <w:jc w:val="both"/>
        <w:rPr>
          <w:rFonts w:ascii="Tahoma" w:hAnsi="Tahoma" w:cs="Tahoma"/>
        </w:rPr>
      </w:pPr>
    </w:p>
    <w:p w:rsidR="00371B91" w:rsidRPr="00371B91" w:rsidRDefault="00371B91" w:rsidP="00371B91">
      <w:pPr>
        <w:pStyle w:val="Prrafodelista"/>
        <w:widowControl w:val="0"/>
        <w:numPr>
          <w:ilvl w:val="0"/>
          <w:numId w:val="37"/>
        </w:numPr>
        <w:tabs>
          <w:tab w:val="clear" w:pos="360"/>
          <w:tab w:val="num" w:pos="567"/>
          <w:tab w:val="left" w:pos="709"/>
        </w:tabs>
        <w:suppressAutoHyphens/>
        <w:ind w:left="567" w:hanging="567"/>
        <w:jc w:val="both"/>
        <w:rPr>
          <w:rFonts w:ascii="Tahoma" w:hAnsi="Tahoma" w:cs="Tahoma"/>
        </w:rPr>
      </w:pPr>
      <w:r w:rsidRPr="00371B91">
        <w:rPr>
          <w:rFonts w:ascii="Tahoma" w:hAnsi="Tahoma" w:cs="Tahoma"/>
        </w:rPr>
        <w:t xml:space="preserve">Dentro de este contexto, en virtud del Principio de Verdad Material previsto en el numeral 1.11 del artículo IV del Título Preliminar de la Ley 27444, este Colegiado solicitó a la Subdirección del Registro Nacional de Proveedores que indicara si la empresa MAKNO </w:t>
      </w:r>
      <w:r w:rsidRPr="00371B91">
        <w:rPr>
          <w:rFonts w:ascii="Tahoma" w:hAnsi="Tahoma" w:cs="Tahoma"/>
        </w:rPr>
        <w:lastRenderedPageBreak/>
        <w:t xml:space="preserve">INGENIEROS S.A. contaba </w:t>
      </w:r>
      <w:r w:rsidRPr="00371B91">
        <w:rPr>
          <w:rFonts w:ascii="Tahoma" w:hAnsi="Tahoma" w:cs="Tahoma"/>
          <w:lang w:val="es-ES_tradnl"/>
        </w:rPr>
        <w:t>con inscripción vigente ante el RNP en el mes de septiembre de 2010</w:t>
      </w:r>
      <w:r w:rsidRPr="00371B91">
        <w:rPr>
          <w:rFonts w:ascii="Tahoma" w:hAnsi="Tahoma" w:cs="Tahoma"/>
        </w:rPr>
        <w:t xml:space="preserve">. Es respuesta a lo solicitado, mediante Memorando № 568-2011/SREG/HCS de fecha 12 de mayo de 2011, la Sub Dirección señaló que el </w:t>
      </w:r>
      <w:r w:rsidRPr="00371B91">
        <w:rPr>
          <w:rFonts w:ascii="Tahoma" w:hAnsi="Tahoma" w:cs="Tahoma"/>
          <w:u w:val="single"/>
        </w:rPr>
        <w:t>Postor en el Registro de Consultores de obra contaba con inscripción vigente durante todo el mes de septiembre de 2010.</w:t>
      </w:r>
    </w:p>
    <w:p w:rsidR="00371B91" w:rsidRPr="00371B91" w:rsidRDefault="00371B91" w:rsidP="00371B91">
      <w:pPr>
        <w:pStyle w:val="Prrafodelista"/>
        <w:widowControl w:val="0"/>
        <w:tabs>
          <w:tab w:val="left" w:pos="709"/>
        </w:tabs>
        <w:suppressAutoHyphens/>
        <w:ind w:left="567"/>
        <w:jc w:val="both"/>
        <w:rPr>
          <w:rFonts w:ascii="Tahoma" w:hAnsi="Tahoma" w:cs="Tahoma"/>
        </w:rPr>
      </w:pPr>
    </w:p>
    <w:p w:rsidR="00371B91" w:rsidRPr="00371B91" w:rsidRDefault="00371B91" w:rsidP="00371B91">
      <w:pPr>
        <w:pStyle w:val="Prrafodelista1"/>
        <w:numPr>
          <w:ilvl w:val="0"/>
          <w:numId w:val="37"/>
        </w:numPr>
        <w:tabs>
          <w:tab w:val="clear" w:pos="360"/>
          <w:tab w:val="num" w:pos="567"/>
        </w:tabs>
        <w:ind w:left="567" w:hanging="567"/>
        <w:rPr>
          <w:sz w:val="20"/>
          <w:szCs w:val="20"/>
        </w:rPr>
      </w:pPr>
      <w:r w:rsidRPr="00371B91">
        <w:rPr>
          <w:sz w:val="20"/>
          <w:szCs w:val="20"/>
        </w:rPr>
        <w:t xml:space="preserve">Resulta evidente, entonces, que el 13 de septiembre de 2010, fecha en la que el Postor presentó su propuesta correspondiente con el fin de participar en la Competencia Menor № CME-0097-2010-OFP/PETROPERU, la inscripción en el Registro de consultores de obras del Registro Nacional de Proveedores del Postor, se encontraba plenamente vigente, motivo por el cual aquél podía participar en el citado proceso de selección. </w:t>
      </w:r>
    </w:p>
    <w:p w:rsidR="00371B91" w:rsidRPr="00371B91" w:rsidRDefault="00371B91" w:rsidP="00371B91">
      <w:pPr>
        <w:pStyle w:val="Prrafodelista"/>
        <w:rPr>
          <w:rFonts w:ascii="Tahoma" w:hAnsi="Tahoma" w:cs="Tahoma"/>
        </w:rPr>
      </w:pPr>
    </w:p>
    <w:p w:rsidR="00371B91" w:rsidRPr="00371B91" w:rsidRDefault="00371B91" w:rsidP="00371B91">
      <w:pPr>
        <w:pStyle w:val="Prrafodelista1"/>
        <w:numPr>
          <w:ilvl w:val="0"/>
          <w:numId w:val="37"/>
        </w:numPr>
        <w:tabs>
          <w:tab w:val="clear" w:pos="360"/>
          <w:tab w:val="num" w:pos="567"/>
        </w:tabs>
        <w:ind w:left="567" w:hanging="567"/>
        <w:rPr>
          <w:sz w:val="20"/>
          <w:szCs w:val="20"/>
        </w:rPr>
      </w:pPr>
      <w:r w:rsidRPr="00371B91">
        <w:rPr>
          <w:sz w:val="20"/>
          <w:szCs w:val="20"/>
        </w:rPr>
        <w:t xml:space="preserve">Por lo expuesto y, en estricta observancia del Principio de Tipicidad establecido en el inciso 4 del artículo 230 de la Ley del Procedimiento Administrativo General consagra el </w:t>
      </w:r>
      <w:r w:rsidRPr="00371B91">
        <w:rPr>
          <w:i/>
          <w:sz w:val="20"/>
          <w:szCs w:val="20"/>
        </w:rPr>
        <w:t>Principio de Tipicidad,</w:t>
      </w:r>
      <w:r w:rsidRPr="00371B91">
        <w:rPr>
          <w:sz w:val="20"/>
          <w:szCs w:val="20"/>
        </w:rPr>
        <w:t xml:space="preserve"> el cual contempla que las conductas expresamente descritas como sancionables no pueden admitir interpretación extensiva o análoga. Por su parte, inciso 2) del citado artículo regula el </w:t>
      </w:r>
      <w:r w:rsidRPr="00371B91">
        <w:rPr>
          <w:i/>
          <w:sz w:val="20"/>
          <w:szCs w:val="20"/>
        </w:rPr>
        <w:t xml:space="preserve">Principio del Debido Procedimiento </w:t>
      </w:r>
      <w:r w:rsidRPr="00371B91">
        <w:rPr>
          <w:sz w:val="20"/>
          <w:szCs w:val="20"/>
        </w:rPr>
        <w:t>mediante el cual prevé que las Entidades aplicarán sanciones sujetando su actuación al procedimiento establecido, respetando las garantías inherentes al debido procedimiento.</w:t>
      </w:r>
    </w:p>
    <w:p w:rsidR="00371B91" w:rsidRPr="00371B91" w:rsidRDefault="00371B91" w:rsidP="00371B91">
      <w:pPr>
        <w:pStyle w:val="Prrafodelista"/>
        <w:rPr>
          <w:rFonts w:ascii="Tahoma" w:hAnsi="Tahoma" w:cs="Tahoma"/>
        </w:rPr>
      </w:pPr>
    </w:p>
    <w:p w:rsidR="00371B91" w:rsidRPr="00371B91" w:rsidRDefault="00371B91" w:rsidP="00371B91">
      <w:pPr>
        <w:pStyle w:val="Prrafodelista1"/>
        <w:numPr>
          <w:ilvl w:val="0"/>
          <w:numId w:val="37"/>
        </w:numPr>
        <w:tabs>
          <w:tab w:val="clear" w:pos="360"/>
          <w:tab w:val="num" w:pos="567"/>
        </w:tabs>
        <w:ind w:left="567" w:hanging="567"/>
        <w:rPr>
          <w:sz w:val="20"/>
          <w:szCs w:val="20"/>
        </w:rPr>
      </w:pPr>
      <w:r w:rsidRPr="00371B91">
        <w:rPr>
          <w:sz w:val="20"/>
          <w:szCs w:val="20"/>
        </w:rPr>
        <w:t xml:space="preserve">En consecuencia, se concluye que en el caso materia de análisis no se ha configurado el supuesto de hecho de la infracción contenida </w:t>
      </w:r>
      <w:r w:rsidRPr="00371B91">
        <w:rPr>
          <w:sz w:val="20"/>
          <w:szCs w:val="20"/>
          <w:lang w:val="es-PE"/>
        </w:rPr>
        <w:t>en el literal e) del numeral 51.1 del artículo 51 de la Ley</w:t>
      </w:r>
      <w:r w:rsidRPr="00371B91">
        <w:rPr>
          <w:sz w:val="20"/>
          <w:szCs w:val="20"/>
        </w:rPr>
        <w:t>, razón por la cual este Colegiado considera no procede imponer sanción administrativa al Postor; máxime si las Entidades Estatales son las primeras llamadas a garantizar y dar cumplimiento a las normas contenidas en la Ley de Contrataciones del Estado, su Reglamento y normas conexas, debiendo adecuar su actuación a lo indicado en ellas.</w:t>
      </w:r>
    </w:p>
    <w:p w:rsidR="00B84CE3" w:rsidRPr="00371B91" w:rsidRDefault="00B84CE3" w:rsidP="00B84CE3">
      <w:pPr>
        <w:pStyle w:val="Prrafodelista"/>
        <w:rPr>
          <w:rFonts w:ascii="Tahoma" w:hAnsi="Tahoma" w:cs="Tahoma"/>
        </w:rPr>
      </w:pPr>
    </w:p>
    <w:p w:rsidR="00371B91" w:rsidRPr="00076C20" w:rsidRDefault="00371B91" w:rsidP="00371B91">
      <w:pPr>
        <w:ind w:left="567" w:firstLine="567"/>
        <w:jc w:val="both"/>
        <w:rPr>
          <w:rFonts w:ascii="Tahoma" w:hAnsi="Tahoma" w:cs="Tahoma"/>
          <w:sz w:val="20"/>
          <w:szCs w:val="20"/>
        </w:rPr>
      </w:pPr>
      <w:r w:rsidRPr="00076C20">
        <w:rPr>
          <w:rFonts w:ascii="Tahoma" w:hAnsi="Tahoma" w:cs="Tahoma"/>
          <w:color w:val="000000"/>
          <w:sz w:val="20"/>
          <w:szCs w:val="20"/>
        </w:rPr>
        <w:t xml:space="preserve">Por estos fundamentos, de conformidad con el informe del Vocal Ponente </w:t>
      </w:r>
      <w:r w:rsidRPr="00076C20">
        <w:rPr>
          <w:rFonts w:ascii="Tahoma" w:hAnsi="Tahoma" w:cs="Tahoma"/>
          <w:sz w:val="20"/>
          <w:szCs w:val="20"/>
        </w:rPr>
        <w:t>Doctor Carlos Vicente Navas Rondón</w:t>
      </w:r>
      <w:r w:rsidRPr="00076C20">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CB54EC" w:rsidRPr="00371B91" w:rsidRDefault="00CB54EC" w:rsidP="00CB54EC">
      <w:pPr>
        <w:jc w:val="both"/>
        <w:rPr>
          <w:rFonts w:ascii="Tahoma" w:hAnsi="Tahoma" w:cs="Tahoma"/>
          <w:sz w:val="20"/>
          <w:szCs w:val="20"/>
        </w:rPr>
      </w:pPr>
    </w:p>
    <w:p w:rsidR="00CB54EC" w:rsidRPr="00371B91" w:rsidRDefault="00CB54EC" w:rsidP="003F20E3">
      <w:pPr>
        <w:ind w:firstLine="567"/>
        <w:jc w:val="both"/>
        <w:rPr>
          <w:rFonts w:ascii="Tahoma" w:hAnsi="Tahoma" w:cs="Tahoma"/>
          <w:b/>
          <w:sz w:val="20"/>
          <w:szCs w:val="20"/>
        </w:rPr>
      </w:pPr>
      <w:r w:rsidRPr="00371B91">
        <w:rPr>
          <w:rFonts w:ascii="Tahoma" w:hAnsi="Tahoma" w:cs="Tahoma"/>
          <w:b/>
          <w:sz w:val="20"/>
          <w:szCs w:val="20"/>
        </w:rPr>
        <w:t xml:space="preserve">LA SALA RESUELVE: </w:t>
      </w:r>
    </w:p>
    <w:p w:rsidR="00CB54EC" w:rsidRPr="00371B91" w:rsidRDefault="00CB54EC" w:rsidP="00CB54EC">
      <w:pPr>
        <w:ind w:left="400"/>
        <w:jc w:val="both"/>
        <w:rPr>
          <w:rFonts w:ascii="Tahoma" w:hAnsi="Tahoma" w:cs="Tahoma"/>
          <w:snapToGrid w:val="0"/>
          <w:sz w:val="20"/>
          <w:szCs w:val="20"/>
        </w:rPr>
      </w:pPr>
    </w:p>
    <w:p w:rsidR="00371B91" w:rsidRPr="00371B91" w:rsidRDefault="00371B91" w:rsidP="00371B91">
      <w:pPr>
        <w:pStyle w:val="Prrafodelista"/>
        <w:numPr>
          <w:ilvl w:val="0"/>
          <w:numId w:val="41"/>
        </w:numPr>
        <w:tabs>
          <w:tab w:val="clear" w:pos="454"/>
          <w:tab w:val="num" w:pos="567"/>
        </w:tabs>
        <w:ind w:left="567" w:hanging="567"/>
        <w:jc w:val="both"/>
        <w:rPr>
          <w:rFonts w:ascii="Tahoma" w:hAnsi="Tahoma" w:cs="Tahoma"/>
        </w:rPr>
      </w:pPr>
      <w:r w:rsidRPr="00371B91">
        <w:rPr>
          <w:rFonts w:ascii="Tahoma" w:hAnsi="Tahoma" w:cs="Tahoma"/>
        </w:rPr>
        <w:t xml:space="preserve">Declarar no ha lugar la imposición de sanción administrativa contra la empresa </w:t>
      </w:r>
      <w:r w:rsidRPr="00371B91">
        <w:rPr>
          <w:rFonts w:ascii="Tahoma" w:hAnsi="Tahoma" w:cs="Tahoma"/>
          <w:lang w:val="es-ES_tradnl"/>
        </w:rPr>
        <w:t>MAKNO INGENIEROS S.A.</w:t>
      </w:r>
      <w:r w:rsidRPr="00371B91">
        <w:rPr>
          <w:rFonts w:ascii="Tahoma" w:hAnsi="Tahoma" w:cs="Tahoma"/>
        </w:rPr>
        <w:t>, por su supuesta responsabilidad en la comisión de la infracción tipificada en el literal e) del numeral 51.1 del artículo 51 de la Ley, derivado de la Competencia Menor № CME-0097-2010-OFP/PETROPERU, por lo que corresponde archivar el presente expediente.</w:t>
      </w:r>
    </w:p>
    <w:p w:rsidR="00371B91" w:rsidRPr="00371B91" w:rsidRDefault="00371B91" w:rsidP="00371B91">
      <w:pPr>
        <w:pStyle w:val="Textoindependiente2"/>
        <w:spacing w:after="0" w:line="240" w:lineRule="auto"/>
        <w:ind w:left="540"/>
        <w:jc w:val="both"/>
        <w:rPr>
          <w:rFonts w:ascii="Tahoma" w:hAnsi="Tahoma" w:cs="Tahoma"/>
          <w:sz w:val="20"/>
          <w:szCs w:val="20"/>
        </w:rPr>
      </w:pPr>
    </w:p>
    <w:p w:rsidR="00371B91" w:rsidRPr="00371B91" w:rsidRDefault="00371B91" w:rsidP="00371B91">
      <w:pPr>
        <w:numPr>
          <w:ilvl w:val="0"/>
          <w:numId w:val="41"/>
        </w:numPr>
        <w:tabs>
          <w:tab w:val="clear" w:pos="454"/>
          <w:tab w:val="num" w:pos="540"/>
        </w:tabs>
        <w:ind w:left="540" w:hanging="540"/>
        <w:jc w:val="both"/>
        <w:rPr>
          <w:rFonts w:ascii="Tahoma" w:hAnsi="Tahoma" w:cs="Tahoma"/>
          <w:sz w:val="20"/>
          <w:szCs w:val="20"/>
        </w:rPr>
      </w:pPr>
      <w:r w:rsidRPr="00371B91">
        <w:rPr>
          <w:rFonts w:ascii="Tahoma" w:hAnsi="Tahoma" w:cs="Tahoma"/>
          <w:sz w:val="20"/>
          <w:szCs w:val="20"/>
        </w:rPr>
        <w:lastRenderedPageBreak/>
        <w:t>Comunicar la presente Resolución en conocimiento del Órgano de Control Institucional de la Entidad para que, en mérito a sus atribuciones, adopte las medidas que estime pertinentes de acuerdo a lo manifestado en el numeral 26 de la presente Fundamentación.</w:t>
      </w:r>
    </w:p>
    <w:p w:rsidR="00A01767" w:rsidRPr="00371B91" w:rsidRDefault="00A01767" w:rsidP="00A01767">
      <w:pPr>
        <w:rPr>
          <w:rFonts w:ascii="Tahoma" w:hAnsi="Tahoma" w:cs="Tahoma"/>
          <w:sz w:val="20"/>
          <w:szCs w:val="20"/>
        </w:rPr>
      </w:pPr>
    </w:p>
    <w:p w:rsidR="00CB54EC" w:rsidRPr="00371B91" w:rsidRDefault="00CB54EC" w:rsidP="00CB54EC">
      <w:pPr>
        <w:pStyle w:val="Textoindependiente21"/>
        <w:ind w:firstLine="360"/>
        <w:rPr>
          <w:rFonts w:cs="Tahoma"/>
          <w:sz w:val="20"/>
        </w:rPr>
      </w:pPr>
      <w:r w:rsidRPr="00371B91">
        <w:rPr>
          <w:rFonts w:cs="Tahoma"/>
          <w:sz w:val="20"/>
        </w:rPr>
        <w:t>Regístrese, comuníquese y publíquese.</w:t>
      </w:r>
    </w:p>
    <w:p w:rsidR="00CB54EC" w:rsidRPr="00371B91" w:rsidRDefault="00CB54EC" w:rsidP="00CB54EC">
      <w:pPr>
        <w:jc w:val="both"/>
        <w:rPr>
          <w:rFonts w:ascii="Tahoma" w:hAnsi="Tahoma" w:cs="Tahoma"/>
          <w:sz w:val="20"/>
          <w:szCs w:val="20"/>
        </w:rPr>
      </w:pPr>
    </w:p>
    <w:p w:rsidR="00CB54EC" w:rsidRPr="00371B91" w:rsidRDefault="00CB54EC" w:rsidP="00CB54EC">
      <w:pPr>
        <w:jc w:val="both"/>
        <w:rPr>
          <w:rFonts w:ascii="Tahoma" w:hAnsi="Tahoma" w:cs="Tahoma"/>
          <w:sz w:val="20"/>
          <w:szCs w:val="20"/>
        </w:rPr>
      </w:pPr>
    </w:p>
    <w:p w:rsidR="00144694" w:rsidRPr="00371B91" w:rsidRDefault="00144694" w:rsidP="00CB54EC">
      <w:pPr>
        <w:jc w:val="both"/>
        <w:rPr>
          <w:rFonts w:ascii="Tahoma" w:hAnsi="Tahoma" w:cs="Tahoma"/>
          <w:sz w:val="20"/>
          <w:szCs w:val="20"/>
        </w:rPr>
      </w:pPr>
    </w:p>
    <w:p w:rsidR="00144694" w:rsidRPr="00371B91" w:rsidRDefault="00144694" w:rsidP="00CB54EC">
      <w:pPr>
        <w:jc w:val="both"/>
        <w:rPr>
          <w:rFonts w:ascii="Tahoma" w:hAnsi="Tahoma" w:cs="Tahoma"/>
          <w:sz w:val="20"/>
          <w:szCs w:val="20"/>
        </w:rPr>
      </w:pPr>
    </w:p>
    <w:p w:rsidR="00144694" w:rsidRPr="00371B91" w:rsidRDefault="00144694" w:rsidP="00CB54EC">
      <w:pPr>
        <w:jc w:val="both"/>
        <w:rPr>
          <w:rFonts w:ascii="Tahoma" w:hAnsi="Tahoma" w:cs="Tahoma"/>
          <w:sz w:val="20"/>
          <w:szCs w:val="20"/>
        </w:rPr>
      </w:pPr>
    </w:p>
    <w:p w:rsidR="00CB54EC" w:rsidRPr="00371B91" w:rsidRDefault="00CB54EC" w:rsidP="00CB54EC">
      <w:pPr>
        <w:jc w:val="center"/>
        <w:rPr>
          <w:rFonts w:ascii="Tahoma" w:hAnsi="Tahoma" w:cs="Tahoma"/>
          <w:b/>
          <w:bCs/>
          <w:shadow/>
          <w:sz w:val="20"/>
          <w:szCs w:val="20"/>
        </w:rPr>
      </w:pPr>
      <w:r w:rsidRPr="00371B91">
        <w:rPr>
          <w:rFonts w:ascii="Tahoma" w:hAnsi="Tahoma" w:cs="Tahoma"/>
          <w:b/>
          <w:bCs/>
          <w:shadow/>
          <w:sz w:val="20"/>
          <w:szCs w:val="20"/>
        </w:rPr>
        <w:t>PRESIDENTE</w:t>
      </w:r>
    </w:p>
    <w:p w:rsidR="00CB54EC" w:rsidRPr="00371B91" w:rsidRDefault="00CB54EC" w:rsidP="00CB54EC">
      <w:pPr>
        <w:jc w:val="center"/>
        <w:rPr>
          <w:rFonts w:ascii="Tahoma" w:hAnsi="Tahoma" w:cs="Tahoma"/>
          <w:b/>
          <w:bCs/>
          <w:shadow/>
          <w:sz w:val="20"/>
          <w:szCs w:val="20"/>
        </w:rPr>
      </w:pPr>
    </w:p>
    <w:p w:rsidR="00CB54EC" w:rsidRPr="00371B91" w:rsidRDefault="00CB54EC" w:rsidP="00CB54EC">
      <w:pPr>
        <w:jc w:val="center"/>
        <w:rPr>
          <w:rFonts w:ascii="Tahoma" w:hAnsi="Tahoma" w:cs="Tahoma"/>
          <w:b/>
          <w:bCs/>
          <w:shadow/>
          <w:sz w:val="20"/>
          <w:szCs w:val="20"/>
        </w:rPr>
      </w:pPr>
    </w:p>
    <w:p w:rsidR="00CB54EC" w:rsidRPr="00371B91" w:rsidRDefault="00CB54EC" w:rsidP="00CB54EC">
      <w:pPr>
        <w:jc w:val="center"/>
        <w:rPr>
          <w:rFonts w:ascii="Tahoma" w:hAnsi="Tahoma" w:cs="Tahoma"/>
          <w:b/>
          <w:bCs/>
          <w:shadow/>
          <w:sz w:val="20"/>
          <w:szCs w:val="20"/>
        </w:rPr>
      </w:pPr>
    </w:p>
    <w:p w:rsidR="00CB54EC" w:rsidRPr="00371B91" w:rsidRDefault="00CB54EC" w:rsidP="00CB54EC">
      <w:pPr>
        <w:jc w:val="center"/>
        <w:rPr>
          <w:rFonts w:ascii="Tahoma" w:hAnsi="Tahoma" w:cs="Tahoma"/>
          <w:b/>
          <w:bCs/>
          <w:shadow/>
          <w:sz w:val="20"/>
          <w:szCs w:val="20"/>
        </w:rPr>
      </w:pPr>
    </w:p>
    <w:p w:rsidR="00CB54EC" w:rsidRPr="00371B91" w:rsidRDefault="00CB54EC" w:rsidP="00CB54EC">
      <w:pPr>
        <w:jc w:val="center"/>
        <w:rPr>
          <w:rFonts w:ascii="Tahoma" w:hAnsi="Tahoma" w:cs="Tahoma"/>
          <w:b/>
          <w:shadow/>
          <w:sz w:val="20"/>
          <w:szCs w:val="20"/>
        </w:rPr>
      </w:pPr>
      <w:r w:rsidRPr="00371B91">
        <w:rPr>
          <w:rFonts w:ascii="Tahoma" w:hAnsi="Tahoma" w:cs="Tahoma"/>
          <w:b/>
          <w:shadow/>
          <w:sz w:val="20"/>
          <w:szCs w:val="20"/>
        </w:rPr>
        <w:t xml:space="preserve">VOCAL           </w:t>
      </w:r>
      <w:r w:rsidRPr="00371B91">
        <w:rPr>
          <w:rFonts w:ascii="Tahoma" w:hAnsi="Tahoma" w:cs="Tahoma"/>
          <w:b/>
          <w:shadow/>
          <w:sz w:val="20"/>
          <w:szCs w:val="20"/>
        </w:rPr>
        <w:tab/>
      </w:r>
      <w:r w:rsidRPr="00371B91">
        <w:rPr>
          <w:rFonts w:ascii="Tahoma" w:hAnsi="Tahoma" w:cs="Tahoma"/>
          <w:b/>
          <w:shadow/>
          <w:sz w:val="20"/>
          <w:szCs w:val="20"/>
        </w:rPr>
        <w:tab/>
        <w:t xml:space="preserve">                                                                VOCAL</w:t>
      </w:r>
    </w:p>
    <w:p w:rsidR="00CB54EC" w:rsidRPr="00371B91" w:rsidRDefault="00CB54EC" w:rsidP="00CB54EC">
      <w:pPr>
        <w:jc w:val="center"/>
        <w:rPr>
          <w:rFonts w:ascii="Tahoma" w:hAnsi="Tahoma" w:cs="Tahoma"/>
          <w:shadow/>
          <w:sz w:val="20"/>
          <w:szCs w:val="20"/>
        </w:rPr>
      </w:pPr>
    </w:p>
    <w:p w:rsidR="00144694" w:rsidRPr="00371B91" w:rsidRDefault="00144694" w:rsidP="00CB54EC">
      <w:pPr>
        <w:jc w:val="center"/>
        <w:rPr>
          <w:rFonts w:ascii="Tahoma" w:hAnsi="Tahoma" w:cs="Tahoma"/>
          <w:shadow/>
          <w:sz w:val="20"/>
          <w:szCs w:val="20"/>
        </w:rPr>
      </w:pPr>
    </w:p>
    <w:p w:rsidR="00CB54EC" w:rsidRPr="00371B91" w:rsidRDefault="00CB54EC" w:rsidP="00CB54EC">
      <w:pPr>
        <w:jc w:val="both"/>
        <w:rPr>
          <w:rFonts w:ascii="Tahoma" w:hAnsi="Tahoma" w:cs="Tahoma"/>
          <w:sz w:val="20"/>
          <w:szCs w:val="20"/>
        </w:rPr>
      </w:pPr>
      <w:r w:rsidRPr="00371B91">
        <w:rPr>
          <w:rFonts w:ascii="Tahoma" w:hAnsi="Tahoma" w:cs="Tahoma"/>
          <w:sz w:val="20"/>
          <w:szCs w:val="20"/>
        </w:rPr>
        <w:t>ss.</w:t>
      </w:r>
    </w:p>
    <w:p w:rsidR="0004450B" w:rsidRPr="00076C20" w:rsidRDefault="0004450B" w:rsidP="0004450B">
      <w:pPr>
        <w:jc w:val="both"/>
        <w:rPr>
          <w:rFonts w:ascii="Tahoma" w:hAnsi="Tahoma" w:cs="Tahoma"/>
          <w:sz w:val="20"/>
          <w:szCs w:val="20"/>
        </w:rPr>
      </w:pPr>
      <w:r w:rsidRPr="00076C20">
        <w:rPr>
          <w:rFonts w:ascii="Tahoma" w:hAnsi="Tahoma" w:cs="Tahoma"/>
          <w:sz w:val="20"/>
          <w:szCs w:val="20"/>
        </w:rPr>
        <w:t>Navas Rondón</w:t>
      </w:r>
    </w:p>
    <w:p w:rsidR="0004450B" w:rsidRPr="00076C20" w:rsidRDefault="0004450B" w:rsidP="0004450B">
      <w:pPr>
        <w:jc w:val="both"/>
        <w:rPr>
          <w:rFonts w:ascii="Tahoma" w:hAnsi="Tahoma" w:cs="Tahoma"/>
          <w:color w:val="000000"/>
          <w:sz w:val="20"/>
          <w:szCs w:val="20"/>
        </w:rPr>
      </w:pPr>
      <w:r w:rsidRPr="00076C20">
        <w:rPr>
          <w:rFonts w:ascii="Tahoma" w:hAnsi="Tahoma" w:cs="Tahoma"/>
          <w:color w:val="000000"/>
          <w:sz w:val="20"/>
          <w:szCs w:val="20"/>
        </w:rPr>
        <w:t xml:space="preserve">Ramírez Maynetto </w:t>
      </w:r>
    </w:p>
    <w:p w:rsidR="0004450B" w:rsidRPr="00076C20" w:rsidRDefault="0004450B" w:rsidP="0004450B">
      <w:pPr>
        <w:jc w:val="both"/>
        <w:rPr>
          <w:rFonts w:ascii="Tahoma" w:hAnsi="Tahoma" w:cs="Tahoma"/>
          <w:sz w:val="20"/>
          <w:szCs w:val="20"/>
        </w:rPr>
      </w:pPr>
      <w:r w:rsidRPr="00076C20">
        <w:rPr>
          <w:rFonts w:ascii="Tahoma" w:hAnsi="Tahoma" w:cs="Tahoma"/>
          <w:sz w:val="20"/>
          <w:szCs w:val="20"/>
        </w:rPr>
        <w:t>Basulto Liewald.</w:t>
      </w:r>
    </w:p>
    <w:p w:rsidR="002C6D86" w:rsidRPr="00371B91" w:rsidRDefault="00486A43" w:rsidP="0004450B">
      <w:pPr>
        <w:jc w:val="both"/>
        <w:rPr>
          <w:rFonts w:ascii="Tahoma" w:hAnsi="Tahoma" w:cs="Tahoma"/>
          <w:sz w:val="20"/>
          <w:szCs w:val="20"/>
        </w:rPr>
      </w:pPr>
    </w:p>
    <w:sectPr w:rsidR="002C6D86" w:rsidRPr="00371B91" w:rsidSect="009E0365">
      <w:headerReference w:type="default" r:id="rId7"/>
      <w:footerReference w:type="default" r:id="rId8"/>
      <w:pgSz w:w="11906" w:h="16838"/>
      <w:pgMar w:top="3345" w:right="1644" w:bottom="1644" w:left="1644" w:header="709" w:footer="1298"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6A43" w:rsidRDefault="00486A43" w:rsidP="00CB54EC">
      <w:r>
        <w:separator/>
      </w:r>
    </w:p>
  </w:endnote>
  <w:endnote w:type="continuationSeparator" w:id="1">
    <w:p w:rsidR="00486A43" w:rsidRDefault="00486A43" w:rsidP="00CB54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66F0" w:rsidRDefault="00486A43" w:rsidP="00E066F0">
    <w:pPr>
      <w:pStyle w:val="Piedepgina"/>
      <w:jc w:val="center"/>
    </w:pPr>
  </w:p>
  <w:p w:rsidR="00E066F0" w:rsidRDefault="005C66C0" w:rsidP="00E066F0">
    <w:pPr>
      <w:pStyle w:val="Piedepgina"/>
      <w:jc w:val="center"/>
    </w:pPr>
    <w:r>
      <w:t xml:space="preserve">Página </w:t>
    </w:r>
    <w:r w:rsidR="006F1F81">
      <w:fldChar w:fldCharType="begin"/>
    </w:r>
    <w:r>
      <w:instrText>PAGE</w:instrText>
    </w:r>
    <w:r w:rsidR="006F1F81">
      <w:fldChar w:fldCharType="separate"/>
    </w:r>
    <w:r w:rsidR="00101CF1">
      <w:rPr>
        <w:noProof/>
      </w:rPr>
      <w:t>1</w:t>
    </w:r>
    <w:r w:rsidR="006F1F81">
      <w:fldChar w:fldCharType="end"/>
    </w:r>
    <w:r w:rsidRPr="006214E4">
      <w:t xml:space="preserve"> de </w:t>
    </w:r>
    <w:r w:rsidR="006F1F81">
      <w:fldChar w:fldCharType="begin"/>
    </w:r>
    <w:r>
      <w:instrText>NUMPAGES</w:instrText>
    </w:r>
    <w:r w:rsidR="006F1F81">
      <w:fldChar w:fldCharType="separate"/>
    </w:r>
    <w:r w:rsidR="00101CF1">
      <w:rPr>
        <w:noProof/>
      </w:rPr>
      <w:t>10</w:t>
    </w:r>
    <w:r w:rsidR="006F1F81">
      <w:fldChar w:fldCharType="end"/>
    </w:r>
  </w:p>
  <w:p w:rsidR="00E066F0" w:rsidRPr="00223795" w:rsidRDefault="00486A43" w:rsidP="00E066F0">
    <w:pPr>
      <w:pStyle w:val="Piedepgina"/>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6A43" w:rsidRDefault="00486A43" w:rsidP="00CB54EC">
      <w:r>
        <w:separator/>
      </w:r>
    </w:p>
  </w:footnote>
  <w:footnote w:type="continuationSeparator" w:id="1">
    <w:p w:rsidR="00486A43" w:rsidRDefault="00486A43" w:rsidP="00CB54EC">
      <w:r>
        <w:continuationSeparator/>
      </w:r>
    </w:p>
  </w:footnote>
  <w:footnote w:id="2">
    <w:p w:rsidR="00371B91" w:rsidRPr="00285227" w:rsidRDefault="00371B91" w:rsidP="00371B91">
      <w:pPr>
        <w:pStyle w:val="Textonotapie"/>
        <w:rPr>
          <w:rFonts w:ascii="Tahoma" w:hAnsi="Tahoma" w:cs="Tahoma"/>
          <w:i/>
          <w:sz w:val="16"/>
          <w:szCs w:val="16"/>
        </w:rPr>
      </w:pPr>
      <w:r w:rsidRPr="00285227">
        <w:rPr>
          <w:rStyle w:val="Refdenotaalpie"/>
          <w:rFonts w:ascii="Tahoma" w:hAnsi="Tahoma" w:cs="Tahoma"/>
          <w:i/>
          <w:sz w:val="16"/>
          <w:szCs w:val="16"/>
        </w:rPr>
        <w:footnoteRef/>
      </w:r>
      <w:r w:rsidRPr="00285227">
        <w:rPr>
          <w:rFonts w:ascii="Tahoma" w:hAnsi="Tahoma" w:cs="Tahoma"/>
          <w:i/>
          <w:sz w:val="16"/>
          <w:szCs w:val="16"/>
        </w:rPr>
        <w:t xml:space="preserve"> Pu</w:t>
      </w:r>
      <w:r>
        <w:rPr>
          <w:rFonts w:ascii="Tahoma" w:hAnsi="Tahoma" w:cs="Tahoma"/>
          <w:i/>
          <w:sz w:val="16"/>
          <w:szCs w:val="16"/>
        </w:rPr>
        <w:t>blicada el 12 de diciembre del 2009</w:t>
      </w:r>
      <w:r w:rsidRPr="00285227">
        <w:rPr>
          <w:rFonts w:ascii="Tahoma" w:hAnsi="Tahoma" w:cs="Tahoma"/>
          <w:i/>
          <w:sz w:val="16"/>
          <w:szCs w:val="16"/>
        </w:rPr>
        <w:t>.</w:t>
      </w:r>
    </w:p>
  </w:footnote>
  <w:footnote w:id="3">
    <w:p w:rsidR="00371B91" w:rsidRPr="009E0820" w:rsidRDefault="00371B91" w:rsidP="00371B91">
      <w:pPr>
        <w:pStyle w:val="Textonotapie"/>
        <w:ind w:left="154" w:hanging="154"/>
        <w:jc w:val="both"/>
        <w:rPr>
          <w:sz w:val="16"/>
          <w:szCs w:val="16"/>
        </w:rPr>
      </w:pPr>
      <w:r w:rsidRPr="009E0820">
        <w:rPr>
          <w:rStyle w:val="Refdenotaalpie"/>
          <w:sz w:val="16"/>
          <w:szCs w:val="16"/>
        </w:rPr>
        <w:footnoteRef/>
      </w:r>
      <w:r w:rsidRPr="009E0820">
        <w:rPr>
          <w:sz w:val="16"/>
          <w:szCs w:val="16"/>
        </w:rPr>
        <w:t xml:space="preserve"> A diferencia del Derecho Penal, ámbito en el que constitucionalmente está proscrita, en el Derecho Administrativo la </w:t>
      </w:r>
      <w:r w:rsidRPr="009E0820">
        <w:rPr>
          <w:i/>
          <w:sz w:val="16"/>
          <w:szCs w:val="16"/>
        </w:rPr>
        <w:t>responsabilidad objetiva</w:t>
      </w:r>
      <w:r w:rsidRPr="009E0820">
        <w:rPr>
          <w:sz w:val="16"/>
          <w:szCs w:val="16"/>
        </w:rPr>
        <w:t xml:space="preserve"> (culpa sin intencionalidad) del imputado, puede ser utilizada por la Administración para efectos del ejercicio de la potestad sancionadora, sin vulnerar el </w:t>
      </w:r>
      <w:r w:rsidRPr="009E0820">
        <w:rPr>
          <w:i/>
          <w:sz w:val="16"/>
          <w:szCs w:val="16"/>
        </w:rPr>
        <w:t xml:space="preserve">Principio de Culpabilidad </w:t>
      </w:r>
      <w:r w:rsidRPr="009E0820">
        <w:rPr>
          <w:sz w:val="16"/>
          <w:szCs w:val="16"/>
        </w:rPr>
        <w:t xml:space="preserve">(base de la </w:t>
      </w:r>
      <w:r w:rsidRPr="009E0820">
        <w:rPr>
          <w:i/>
          <w:sz w:val="16"/>
          <w:szCs w:val="16"/>
        </w:rPr>
        <w:t>responsabilidad subjetiva</w:t>
      </w:r>
      <w:r w:rsidRPr="009E0820">
        <w:rPr>
          <w:sz w:val="16"/>
          <w:szCs w:val="16"/>
        </w:rPr>
        <w:t xml:space="preserve"> o de la culpa con intencionalidad</w:t>
      </w:r>
      <w:r w:rsidRPr="009E0820">
        <w:rPr>
          <w:i/>
          <w:sz w:val="16"/>
          <w:szCs w:val="16"/>
        </w:rPr>
        <w:t>)</w:t>
      </w:r>
      <w:r w:rsidRPr="009E0820">
        <w:rPr>
          <w:sz w:val="16"/>
          <w:szCs w:val="16"/>
        </w:rPr>
        <w:t xml:space="preserve">, siempre que las reglas existentes y los procedimientos de aplicación del Derecho lo permitan.  Consultar al respecto lo señalado por Marcial Rubio Correa sobre el </w:t>
      </w:r>
      <w:r w:rsidRPr="009E0820">
        <w:rPr>
          <w:i/>
          <w:sz w:val="16"/>
          <w:szCs w:val="16"/>
        </w:rPr>
        <w:t>Principio de Culpabilidad</w:t>
      </w:r>
      <w:r w:rsidRPr="009E0820">
        <w:rPr>
          <w:sz w:val="16"/>
          <w:szCs w:val="16"/>
        </w:rPr>
        <w:t xml:space="preserve"> en “</w:t>
      </w:r>
      <w:r w:rsidRPr="009E0820">
        <w:rPr>
          <w:sz w:val="16"/>
          <w:szCs w:val="16"/>
          <w:u w:val="single"/>
        </w:rPr>
        <w:t>La Interpretación de La Constitución Según El Tribunal Constitucional</w:t>
      </w:r>
      <w:r w:rsidRPr="009E0820">
        <w:rPr>
          <w:sz w:val="16"/>
          <w:szCs w:val="16"/>
        </w:rPr>
        <w:t>”. Fondo Editorial de la Pontificia Universidad Católica. Lima, Segunda Edición, Octubre 2008. Páginas87-88.</w:t>
      </w:r>
    </w:p>
    <w:p w:rsidR="00371B91" w:rsidRDefault="00371B91" w:rsidP="00371B91">
      <w:pPr>
        <w:pStyle w:val="Textonotapie"/>
      </w:pPr>
    </w:p>
  </w:footnote>
  <w:footnote w:id="4">
    <w:p w:rsidR="00371B91" w:rsidRPr="009E0820" w:rsidRDefault="00371B91" w:rsidP="00371B91">
      <w:pPr>
        <w:pStyle w:val="Textonotapie"/>
        <w:jc w:val="both"/>
        <w:rPr>
          <w:b/>
          <w:sz w:val="16"/>
          <w:szCs w:val="16"/>
        </w:rPr>
      </w:pPr>
      <w:r w:rsidRPr="009E0820">
        <w:rPr>
          <w:rStyle w:val="Refdenotaalpie"/>
          <w:sz w:val="16"/>
          <w:szCs w:val="16"/>
        </w:rPr>
        <w:footnoteRef/>
      </w:r>
      <w:r w:rsidRPr="009E0820">
        <w:rPr>
          <w:sz w:val="16"/>
          <w:szCs w:val="16"/>
        </w:rPr>
        <w:t xml:space="preserve"> </w:t>
      </w:r>
      <w:r w:rsidRPr="009E0820">
        <w:rPr>
          <w:b/>
          <w:sz w:val="16"/>
          <w:szCs w:val="16"/>
        </w:rPr>
        <w:t>Articulo 42.- Especificación del Contenido de los sobres de propuestas</w:t>
      </w:r>
    </w:p>
    <w:p w:rsidR="00371B91" w:rsidRPr="009E0820" w:rsidRDefault="00371B91" w:rsidP="00371B91">
      <w:pPr>
        <w:pStyle w:val="Textonotapie"/>
        <w:numPr>
          <w:ilvl w:val="0"/>
          <w:numId w:val="38"/>
        </w:numPr>
        <w:ind w:left="142" w:hanging="142"/>
        <w:jc w:val="both"/>
        <w:rPr>
          <w:sz w:val="16"/>
          <w:szCs w:val="16"/>
        </w:rPr>
      </w:pPr>
      <w:r w:rsidRPr="009E0820">
        <w:rPr>
          <w:sz w:val="16"/>
          <w:szCs w:val="16"/>
        </w:rPr>
        <w:t xml:space="preserve"> Propuesta Técnica</w:t>
      </w:r>
    </w:p>
    <w:p w:rsidR="00371B91" w:rsidRPr="009E0820" w:rsidRDefault="00371B91" w:rsidP="00371B91">
      <w:pPr>
        <w:pStyle w:val="Textonotapie"/>
        <w:numPr>
          <w:ilvl w:val="0"/>
          <w:numId w:val="39"/>
        </w:numPr>
        <w:ind w:left="284" w:hanging="142"/>
        <w:jc w:val="both"/>
        <w:rPr>
          <w:sz w:val="16"/>
          <w:szCs w:val="16"/>
        </w:rPr>
      </w:pPr>
      <w:r w:rsidRPr="009E0820">
        <w:rPr>
          <w:sz w:val="16"/>
          <w:szCs w:val="16"/>
        </w:rPr>
        <w:t xml:space="preserve">Documentación de presentación obligatoria </w:t>
      </w:r>
    </w:p>
    <w:p w:rsidR="00371B91" w:rsidRPr="009E0820" w:rsidRDefault="00371B91" w:rsidP="00371B91">
      <w:pPr>
        <w:pStyle w:val="Textonotapie"/>
        <w:numPr>
          <w:ilvl w:val="0"/>
          <w:numId w:val="40"/>
        </w:numPr>
        <w:ind w:left="567" w:hanging="207"/>
        <w:jc w:val="both"/>
        <w:rPr>
          <w:sz w:val="16"/>
          <w:szCs w:val="16"/>
        </w:rPr>
      </w:pPr>
      <w:r w:rsidRPr="009E0820">
        <w:rPr>
          <w:sz w:val="16"/>
          <w:szCs w:val="16"/>
        </w:rPr>
        <w:t>Copia Simple del certificado o constancia de inscripción vigente en el registro correspondiente del Registro Nacional de Proveedores – RNP.</w:t>
      </w:r>
    </w:p>
    <w:p w:rsidR="00371B91" w:rsidRPr="009E0820" w:rsidRDefault="00371B91" w:rsidP="00371B91">
      <w:pPr>
        <w:pStyle w:val="Textonotapie"/>
        <w:numPr>
          <w:ilvl w:val="0"/>
          <w:numId w:val="40"/>
        </w:numPr>
        <w:ind w:left="567" w:hanging="207"/>
        <w:jc w:val="both"/>
        <w:rPr>
          <w:sz w:val="16"/>
          <w:szCs w:val="16"/>
        </w:rPr>
      </w:pPr>
      <w:r w:rsidRPr="009E0820">
        <w:rPr>
          <w:sz w:val="16"/>
          <w:szCs w:val="16"/>
        </w:rPr>
        <w:t>(…)</w:t>
      </w:r>
    </w:p>
  </w:footnote>
  <w:footnote w:id="5">
    <w:p w:rsidR="00371B91" w:rsidRPr="009E0820" w:rsidRDefault="00371B91" w:rsidP="00371B91">
      <w:pPr>
        <w:pStyle w:val="Textonotapie"/>
        <w:jc w:val="both"/>
        <w:rPr>
          <w:sz w:val="16"/>
          <w:szCs w:val="16"/>
        </w:rPr>
      </w:pPr>
      <w:r w:rsidRPr="009E0820">
        <w:rPr>
          <w:rStyle w:val="Refdenotaalpie"/>
          <w:sz w:val="16"/>
          <w:szCs w:val="16"/>
        </w:rPr>
        <w:footnoteRef/>
      </w:r>
      <w:r w:rsidRPr="009E0820">
        <w:rPr>
          <w:sz w:val="16"/>
          <w:szCs w:val="16"/>
        </w:rPr>
        <w:t xml:space="preserve"> Ver artículo 52 del Reglamento de Contrataciones del Estado.</w:t>
      </w:r>
    </w:p>
  </w:footnote>
  <w:footnote w:id="6">
    <w:p w:rsidR="00371B91" w:rsidRPr="009E0820" w:rsidRDefault="00371B91" w:rsidP="00371B91">
      <w:pPr>
        <w:pStyle w:val="Textonotapie"/>
        <w:jc w:val="both"/>
        <w:rPr>
          <w:sz w:val="14"/>
          <w:szCs w:val="14"/>
        </w:rPr>
      </w:pPr>
      <w:r w:rsidRPr="009E0820">
        <w:rPr>
          <w:rStyle w:val="Refdenotaalpie"/>
          <w:sz w:val="14"/>
          <w:szCs w:val="14"/>
        </w:rPr>
        <w:footnoteRef/>
      </w:r>
      <w:r w:rsidRPr="009E0820">
        <w:rPr>
          <w:sz w:val="14"/>
          <w:szCs w:val="14"/>
        </w:rPr>
        <w:t xml:space="preserve"> Cabe señalar que la consultoría de obra se encuentra comprendida dentro de los contratos de prestación de servicios, los cuales son definidos por el artículo 1755º del Código Civil en los siguientes términos: </w:t>
      </w:r>
      <w:r w:rsidRPr="009E0820">
        <w:rPr>
          <w:i/>
          <w:sz w:val="14"/>
          <w:szCs w:val="14"/>
        </w:rPr>
        <w:t xml:space="preserve">“Por la prestación de servicios se conviene </w:t>
      </w:r>
      <w:r w:rsidRPr="009E0820">
        <w:rPr>
          <w:b/>
          <w:i/>
          <w:sz w:val="14"/>
          <w:szCs w:val="14"/>
          <w:u w:val="single"/>
        </w:rPr>
        <w:t>que éstos o su resultado</w:t>
      </w:r>
      <w:r w:rsidRPr="009E0820">
        <w:rPr>
          <w:i/>
          <w:sz w:val="14"/>
          <w:szCs w:val="14"/>
        </w:rPr>
        <w:t xml:space="preserve"> sean proporcionados por el prestador al comitente.”</w:t>
      </w:r>
      <w:r w:rsidRPr="009E0820">
        <w:rPr>
          <w:sz w:val="14"/>
          <w:szCs w:val="14"/>
        </w:rPr>
        <w:t xml:space="preserve"> (El resaltado es agregado).</w:t>
      </w:r>
    </w:p>
    <w:p w:rsidR="00371B91" w:rsidRPr="009E0820" w:rsidRDefault="00371B91" w:rsidP="00371B91">
      <w:pPr>
        <w:pStyle w:val="Textonotapie"/>
        <w:jc w:val="both"/>
        <w:rPr>
          <w:sz w:val="14"/>
          <w:szCs w:val="14"/>
        </w:rPr>
      </w:pPr>
    </w:p>
    <w:p w:rsidR="00371B91" w:rsidRPr="009E0820" w:rsidRDefault="00371B91" w:rsidP="00371B91">
      <w:pPr>
        <w:pStyle w:val="Textonotapie"/>
        <w:jc w:val="both"/>
        <w:rPr>
          <w:sz w:val="14"/>
          <w:szCs w:val="14"/>
        </w:rPr>
      </w:pPr>
      <w:r w:rsidRPr="009E0820">
        <w:rPr>
          <w:sz w:val="14"/>
          <w:szCs w:val="14"/>
        </w:rPr>
        <w:t>El Código Civil al definir la prestación de servicios, distingue entre aquella prestación que determina una obligación de medios y aquella que determina una obligación de resultado. En la primera, el contratista se obliga a proporcionar al comitente una actividad, sus servicios en sí mismos. Mientras que, en la segunda, el contratista se obliga a efectuar una actividad con un resultado concreto, es decir, la prestación del servicio tiene por objeto la consecución del resultado.</w:t>
      </w:r>
    </w:p>
    <w:p w:rsidR="00371B91" w:rsidRPr="009E0820" w:rsidRDefault="00371B91" w:rsidP="00371B91">
      <w:pPr>
        <w:pStyle w:val="Textonotapie"/>
        <w:jc w:val="both"/>
        <w:rPr>
          <w:sz w:val="14"/>
          <w:szCs w:val="14"/>
        </w:rPr>
      </w:pPr>
    </w:p>
    <w:p w:rsidR="00371B91" w:rsidRPr="009E0820" w:rsidRDefault="00371B91" w:rsidP="00371B91">
      <w:pPr>
        <w:pStyle w:val="Textonotapie"/>
        <w:jc w:val="both"/>
        <w:rPr>
          <w:sz w:val="14"/>
          <w:szCs w:val="14"/>
        </w:rPr>
      </w:pPr>
      <w:r w:rsidRPr="009E0820">
        <w:rPr>
          <w:sz w:val="14"/>
          <w:szCs w:val="14"/>
        </w:rPr>
        <w:t xml:space="preserve">Así, en el caso particular de la consultoría de obras, tenemos que </w:t>
      </w:r>
      <w:r w:rsidRPr="009E0820">
        <w:rPr>
          <w:sz w:val="14"/>
          <w:szCs w:val="14"/>
          <w:u w:val="single"/>
        </w:rPr>
        <w:t>la supervisión de obra implica una obligación de medios</w:t>
      </w:r>
      <w:r w:rsidRPr="009E0820">
        <w:rPr>
          <w:sz w:val="14"/>
          <w:szCs w:val="14"/>
        </w:rPr>
        <w:t xml:space="preserve">, dado que el contratista se obliga a proporcionar a la Entidad la prestación del servicio en sí misma. </w:t>
      </w:r>
      <w:r w:rsidRPr="009E0820">
        <w:rPr>
          <w:sz w:val="14"/>
          <w:szCs w:val="14"/>
          <w:u w:val="single"/>
        </w:rPr>
        <w:t>En cambio, la elaboración del expediente técnico de obra implica una obligación de resultado</w:t>
      </w:r>
      <w:r w:rsidRPr="009E0820">
        <w:rPr>
          <w:sz w:val="14"/>
          <w:szCs w:val="14"/>
        </w:rPr>
        <w:t>, pues el contratista se compromete prestar un servicio con un resultado concreto a favor de la Entidad, la elaboración y entrega del expediente técnico de obra.</w:t>
      </w:r>
    </w:p>
    <w:p w:rsidR="00371B91" w:rsidRPr="009E0820" w:rsidRDefault="00371B91" w:rsidP="00371B91">
      <w:pPr>
        <w:pStyle w:val="Textonotapie"/>
        <w:rPr>
          <w:sz w:val="14"/>
          <w:szCs w:val="14"/>
        </w:rPr>
      </w:pPr>
    </w:p>
  </w:footnote>
  <w:footnote w:id="7">
    <w:p w:rsidR="00371B91" w:rsidRDefault="00371B91" w:rsidP="00371B91">
      <w:pPr>
        <w:pStyle w:val="Textonotapie"/>
      </w:pPr>
      <w:r w:rsidRPr="009E0820">
        <w:rPr>
          <w:rStyle w:val="Refdenotaalpie"/>
          <w:sz w:val="14"/>
          <w:szCs w:val="14"/>
        </w:rPr>
        <w:footnoteRef/>
      </w:r>
      <w:r w:rsidRPr="009E0820">
        <w:rPr>
          <w:sz w:val="14"/>
          <w:szCs w:val="14"/>
        </w:rPr>
        <w:t xml:space="preserve"> Ver página 21 de las Bases Administrativas Competencia Menor № CME-0097-2010-FP/PETROPERU</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CF1" w:rsidRDefault="00101CF1" w:rsidP="00101CF1">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101CF1" w:rsidRDefault="00101CF1" w:rsidP="00101CF1">
    <w:pPr>
      <w:pStyle w:val="Encabezado"/>
      <w:rPr>
        <w:noProof/>
      </w:rPr>
    </w:pPr>
  </w:p>
  <w:p w:rsidR="00101CF1" w:rsidRDefault="00101CF1" w:rsidP="00101CF1">
    <w:pPr>
      <w:pStyle w:val="Encabezado"/>
      <w:rPr>
        <w:noProof/>
      </w:rPr>
    </w:pPr>
  </w:p>
  <w:p w:rsidR="00101CF1" w:rsidRDefault="00101CF1" w:rsidP="00101CF1">
    <w:pPr>
      <w:pStyle w:val="Encabezado"/>
      <w:rPr>
        <w:noProof/>
      </w:rPr>
    </w:pPr>
  </w:p>
  <w:p w:rsidR="00101CF1" w:rsidRDefault="00101CF1" w:rsidP="00101CF1">
    <w:pPr>
      <w:pStyle w:val="Encabezado"/>
      <w:jc w:val="center"/>
    </w:pPr>
    <w:r>
      <w:rPr>
        <w:rFonts w:ascii="Monotype Corsiva" w:hAnsi="Monotype Corsiva"/>
        <w:b/>
        <w:sz w:val="44"/>
        <w:szCs w:val="44"/>
      </w:rPr>
      <w:t xml:space="preserve">Resolución Nº   </w:t>
    </w:r>
    <w:r>
      <w:rPr>
        <w:rFonts w:ascii="Tahoma" w:hAnsi="Tahoma" w:cs="Tahoma"/>
        <w:b/>
        <w:sz w:val="44"/>
        <w:szCs w:val="44"/>
      </w:rPr>
      <w:t>889-2011-TC-S1</w:t>
    </w:r>
  </w:p>
  <w:p w:rsidR="00101CF1" w:rsidRDefault="00101CF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A3E39"/>
    <w:multiLevelType w:val="hybridMultilevel"/>
    <w:tmpl w:val="34EE19A4"/>
    <w:lvl w:ilvl="0" w:tplc="0C880FB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48E5AC7"/>
    <w:multiLevelType w:val="hybridMultilevel"/>
    <w:tmpl w:val="6DD40120"/>
    <w:lvl w:ilvl="0" w:tplc="9ABA3D68">
      <w:start w:val="1"/>
      <w:numFmt w:val="decimal"/>
      <w:lvlText w:val="%1."/>
      <w:lvlJc w:val="left"/>
      <w:pPr>
        <w:tabs>
          <w:tab w:val="num" w:pos="720"/>
        </w:tabs>
        <w:ind w:left="720" w:hanging="360"/>
      </w:pPr>
      <w:rPr>
        <w:b/>
        <w:sz w:val="22"/>
        <w:szCs w:val="22"/>
      </w:rPr>
    </w:lvl>
    <w:lvl w:ilvl="1" w:tplc="0C0A0001">
      <w:start w:val="1"/>
      <w:numFmt w:val="bullet"/>
      <w:lvlText w:val=""/>
      <w:lvlJc w:val="left"/>
      <w:pPr>
        <w:tabs>
          <w:tab w:val="num" w:pos="1440"/>
        </w:tabs>
        <w:ind w:left="1440" w:hanging="360"/>
      </w:pPr>
      <w:rPr>
        <w:rFonts w:ascii="Symbol" w:hAnsi="Symbol" w:hint="default"/>
      </w:rPr>
    </w:lvl>
    <w:lvl w:ilvl="2" w:tplc="45403A08">
      <w:start w:val="1"/>
      <w:numFmt w:val="lowerRoman"/>
      <w:lvlText w:val="(%3)"/>
      <w:lvlJc w:val="left"/>
      <w:pPr>
        <w:tabs>
          <w:tab w:val="num" w:pos="2700"/>
        </w:tabs>
        <w:ind w:left="2700" w:hanging="720"/>
      </w:pPr>
      <w:rPr>
        <w:rFonts w:hint="default"/>
        <w:b w:val="0"/>
      </w:rPr>
    </w:lvl>
    <w:lvl w:ilvl="3" w:tplc="F3C0B5CE">
      <w:start w:val="1"/>
      <w:numFmt w:val="decimal"/>
      <w:lvlText w:val="%4."/>
      <w:lvlJc w:val="left"/>
      <w:pPr>
        <w:tabs>
          <w:tab w:val="num" w:pos="2880"/>
        </w:tabs>
        <w:ind w:left="2880" w:hanging="360"/>
      </w:pPr>
      <w:rPr>
        <w:b/>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05FC48FD"/>
    <w:multiLevelType w:val="hybridMultilevel"/>
    <w:tmpl w:val="A378BE22"/>
    <w:lvl w:ilvl="0" w:tplc="0C0A001B">
      <w:start w:val="1"/>
      <w:numFmt w:val="lowerRoman"/>
      <w:lvlText w:val="%1."/>
      <w:lvlJc w:val="righ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3">
    <w:nsid w:val="0BC52A45"/>
    <w:multiLevelType w:val="hybridMultilevel"/>
    <w:tmpl w:val="0B9E1502"/>
    <w:lvl w:ilvl="0" w:tplc="4698B00E">
      <w:start w:val="1"/>
      <w:numFmt w:val="decimal"/>
      <w:lvlText w:val="%1."/>
      <w:lvlJc w:val="left"/>
      <w:pPr>
        <w:tabs>
          <w:tab w:val="num" w:pos="720"/>
        </w:tabs>
        <w:ind w:left="720" w:hanging="360"/>
      </w:pPr>
      <w:rPr>
        <w:rFonts w:hint="default"/>
        <w:b/>
      </w:rPr>
    </w:lvl>
    <w:lvl w:ilvl="1" w:tplc="9672009C">
      <w:start w:val="1"/>
      <w:numFmt w:val="decimal"/>
      <w:isLgl/>
      <w:lvlText w:val="%2."/>
      <w:lvlJc w:val="left"/>
      <w:pPr>
        <w:tabs>
          <w:tab w:val="num" w:pos="720"/>
        </w:tabs>
        <w:ind w:left="720" w:hanging="360"/>
      </w:pPr>
      <w:rPr>
        <w:rFonts w:ascii="Tahoma" w:eastAsia="Times New Roman" w:hAnsi="Tahoma" w:cs="Tahoma" w:hint="default"/>
        <w:b/>
        <w:sz w:val="20"/>
        <w:szCs w:val="20"/>
      </w:rPr>
    </w:lvl>
    <w:lvl w:ilvl="2" w:tplc="A88CB528">
      <w:numFmt w:val="none"/>
      <w:lvlText w:val=""/>
      <w:lvlJc w:val="left"/>
      <w:pPr>
        <w:tabs>
          <w:tab w:val="num" w:pos="360"/>
        </w:tabs>
      </w:pPr>
    </w:lvl>
    <w:lvl w:ilvl="3" w:tplc="634E24BC">
      <w:start w:val="9"/>
      <w:numFmt w:val="decimal"/>
      <w:lvlText w:val="%4."/>
      <w:lvlJc w:val="left"/>
      <w:pPr>
        <w:tabs>
          <w:tab w:val="num" w:pos="720"/>
        </w:tabs>
        <w:ind w:left="720" w:hanging="360"/>
      </w:pPr>
      <w:rPr>
        <w:rFonts w:hint="default"/>
      </w:rPr>
    </w:lvl>
    <w:lvl w:ilvl="4" w:tplc="9BBCFB66">
      <w:numFmt w:val="none"/>
      <w:lvlText w:val=""/>
      <w:lvlJc w:val="left"/>
      <w:pPr>
        <w:tabs>
          <w:tab w:val="num" w:pos="360"/>
        </w:tabs>
      </w:pPr>
    </w:lvl>
    <w:lvl w:ilvl="5" w:tplc="07A6BC06">
      <w:numFmt w:val="none"/>
      <w:lvlText w:val=""/>
      <w:lvlJc w:val="left"/>
      <w:pPr>
        <w:tabs>
          <w:tab w:val="num" w:pos="360"/>
        </w:tabs>
      </w:pPr>
    </w:lvl>
    <w:lvl w:ilvl="6" w:tplc="C74065DC">
      <w:numFmt w:val="none"/>
      <w:lvlText w:val=""/>
      <w:lvlJc w:val="left"/>
      <w:pPr>
        <w:tabs>
          <w:tab w:val="num" w:pos="360"/>
        </w:tabs>
      </w:pPr>
    </w:lvl>
    <w:lvl w:ilvl="7" w:tplc="42620838">
      <w:numFmt w:val="none"/>
      <w:lvlText w:val=""/>
      <w:lvlJc w:val="left"/>
      <w:pPr>
        <w:tabs>
          <w:tab w:val="num" w:pos="360"/>
        </w:tabs>
      </w:pPr>
    </w:lvl>
    <w:lvl w:ilvl="8" w:tplc="C5062848">
      <w:numFmt w:val="none"/>
      <w:lvlText w:val=""/>
      <w:lvlJc w:val="left"/>
      <w:pPr>
        <w:tabs>
          <w:tab w:val="num" w:pos="360"/>
        </w:tabs>
      </w:pPr>
    </w:lvl>
  </w:abstractNum>
  <w:abstractNum w:abstractNumId="4">
    <w:nsid w:val="0C665B46"/>
    <w:multiLevelType w:val="hybridMultilevel"/>
    <w:tmpl w:val="616E48D4"/>
    <w:lvl w:ilvl="0" w:tplc="4310160E">
      <w:start w:val="1"/>
      <w:numFmt w:val="lowerRoman"/>
      <w:lvlText w:val="%1."/>
      <w:lvlJc w:val="right"/>
      <w:pPr>
        <w:tabs>
          <w:tab w:val="num" w:pos="720"/>
        </w:tabs>
        <w:ind w:left="720" w:hanging="360"/>
      </w:pPr>
      <w:rPr>
        <w:b w:val="0"/>
      </w:rPr>
    </w:lvl>
    <w:lvl w:ilvl="1" w:tplc="0C0A0001">
      <w:start w:val="1"/>
      <w:numFmt w:val="bullet"/>
      <w:lvlText w:val=""/>
      <w:lvlJc w:val="left"/>
      <w:pPr>
        <w:tabs>
          <w:tab w:val="num" w:pos="1440"/>
        </w:tabs>
        <w:ind w:left="1440" w:hanging="360"/>
      </w:pPr>
      <w:rPr>
        <w:rFonts w:ascii="Symbol" w:hAnsi="Symbol" w:hint="default"/>
        <w:b/>
      </w:rPr>
    </w:lvl>
    <w:lvl w:ilvl="2" w:tplc="A5705B54">
      <w:start w:val="1"/>
      <w:numFmt w:val="lowerRoman"/>
      <w:lvlText w:val="(%3)"/>
      <w:lvlJc w:val="left"/>
      <w:pPr>
        <w:tabs>
          <w:tab w:val="num" w:pos="2700"/>
        </w:tabs>
        <w:ind w:left="2700" w:hanging="72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0DC27949"/>
    <w:multiLevelType w:val="hybridMultilevel"/>
    <w:tmpl w:val="E278B4D2"/>
    <w:lvl w:ilvl="0" w:tplc="C58063E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
    <w:nsid w:val="0F4D30F0"/>
    <w:multiLevelType w:val="multilevel"/>
    <w:tmpl w:val="D124FDC6"/>
    <w:lvl w:ilvl="0">
      <w:start w:val="1"/>
      <w:numFmt w:val="decimal"/>
      <w:lvlText w:val="%1."/>
      <w:lvlJc w:val="left"/>
      <w:pPr>
        <w:tabs>
          <w:tab w:val="num" w:pos="454"/>
        </w:tabs>
        <w:ind w:left="454" w:hanging="454"/>
      </w:pPr>
      <w:rPr>
        <w:rFonts w:ascii="Bookman Old Style" w:hAnsi="Bookman Old Style" w:hint="default"/>
        <w:b/>
        <w:i w:val="0"/>
        <w:shadow/>
        <w:sz w:val="24"/>
        <w:szCs w:val="24"/>
        <w:u w:color="FFFFFF"/>
      </w:rPr>
    </w:lvl>
    <w:lvl w:ilvl="1">
      <w:start w:val="1"/>
      <w:numFmt w:val="lowerRoman"/>
      <w:lvlText w:val="(%2)"/>
      <w:lvlJc w:val="left"/>
      <w:pPr>
        <w:tabs>
          <w:tab w:val="num" w:pos="1800"/>
        </w:tabs>
        <w:ind w:left="1800" w:hanging="720"/>
      </w:pPr>
      <w:rPr>
        <w:rFonts w:hint="default"/>
        <w:b/>
        <w:i w:val="0"/>
        <w:shadow/>
        <w:emboss w:val="0"/>
        <w:imprint w:val="0"/>
        <w:sz w:val="20"/>
        <w:szCs w:val="20"/>
        <w:u w:color="FFFFFF"/>
      </w:rPr>
    </w:lvl>
    <w:lvl w:ilvl="2">
      <w:start w:val="1"/>
      <w:numFmt w:val="lowerRoman"/>
      <w:lvlText w:val="%3."/>
      <w:lvlJc w:val="right"/>
      <w:pPr>
        <w:tabs>
          <w:tab w:val="num" w:pos="2160"/>
        </w:tabs>
        <w:ind w:left="2160" w:hanging="180"/>
      </w:pPr>
      <w:rPr>
        <w:rFonts w:hint="default"/>
      </w:rPr>
    </w:lvl>
    <w:lvl w:ilvl="3">
      <w:start w:val="1"/>
      <w:numFmt w:val="lowerLetter"/>
      <w:lvlText w:val="%4)"/>
      <w:lvlJc w:val="left"/>
      <w:pPr>
        <w:tabs>
          <w:tab w:val="num" w:pos="3360"/>
        </w:tabs>
        <w:ind w:left="3360" w:hanging="840"/>
      </w:pPr>
      <w:rPr>
        <w:rFonts w:hint="default"/>
        <w:b/>
        <w:i w:val="0"/>
        <w:shadow/>
        <w:emboss w:val="0"/>
        <w:imprint w:val="0"/>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ascii="Tahoma" w:hAnsi="Tahoma" w:cs="Tahoma" w:hint="default"/>
        <w:b/>
        <w:sz w:val="25"/>
        <w:szCs w:val="25"/>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nsid w:val="0F736DE4"/>
    <w:multiLevelType w:val="hybridMultilevel"/>
    <w:tmpl w:val="557AC334"/>
    <w:lvl w:ilvl="0" w:tplc="487AC6A8">
      <w:start w:val="1"/>
      <w:numFmt w:val="lowerRoman"/>
      <w:lvlText w:val="%1."/>
      <w:lvlJc w:val="right"/>
      <w:pPr>
        <w:ind w:left="2007" w:hanging="360"/>
      </w:pPr>
      <w:rPr>
        <w:b/>
      </w:rPr>
    </w:lvl>
    <w:lvl w:ilvl="1" w:tplc="0C0A0019" w:tentative="1">
      <w:start w:val="1"/>
      <w:numFmt w:val="lowerLetter"/>
      <w:lvlText w:val="%2."/>
      <w:lvlJc w:val="left"/>
      <w:pPr>
        <w:ind w:left="2727" w:hanging="360"/>
      </w:pPr>
    </w:lvl>
    <w:lvl w:ilvl="2" w:tplc="0C0A001B" w:tentative="1">
      <w:start w:val="1"/>
      <w:numFmt w:val="lowerRoman"/>
      <w:lvlText w:val="%3."/>
      <w:lvlJc w:val="right"/>
      <w:pPr>
        <w:ind w:left="3447" w:hanging="180"/>
      </w:pPr>
    </w:lvl>
    <w:lvl w:ilvl="3" w:tplc="0C0A000F" w:tentative="1">
      <w:start w:val="1"/>
      <w:numFmt w:val="decimal"/>
      <w:lvlText w:val="%4."/>
      <w:lvlJc w:val="left"/>
      <w:pPr>
        <w:ind w:left="4167" w:hanging="360"/>
      </w:pPr>
    </w:lvl>
    <w:lvl w:ilvl="4" w:tplc="0C0A0019" w:tentative="1">
      <w:start w:val="1"/>
      <w:numFmt w:val="lowerLetter"/>
      <w:lvlText w:val="%5."/>
      <w:lvlJc w:val="left"/>
      <w:pPr>
        <w:ind w:left="4887" w:hanging="360"/>
      </w:pPr>
    </w:lvl>
    <w:lvl w:ilvl="5" w:tplc="0C0A001B" w:tentative="1">
      <w:start w:val="1"/>
      <w:numFmt w:val="lowerRoman"/>
      <w:lvlText w:val="%6."/>
      <w:lvlJc w:val="right"/>
      <w:pPr>
        <w:ind w:left="5607" w:hanging="180"/>
      </w:pPr>
    </w:lvl>
    <w:lvl w:ilvl="6" w:tplc="0C0A000F" w:tentative="1">
      <w:start w:val="1"/>
      <w:numFmt w:val="decimal"/>
      <w:lvlText w:val="%7."/>
      <w:lvlJc w:val="left"/>
      <w:pPr>
        <w:ind w:left="6327" w:hanging="360"/>
      </w:pPr>
    </w:lvl>
    <w:lvl w:ilvl="7" w:tplc="0C0A0019" w:tentative="1">
      <w:start w:val="1"/>
      <w:numFmt w:val="lowerLetter"/>
      <w:lvlText w:val="%8."/>
      <w:lvlJc w:val="left"/>
      <w:pPr>
        <w:ind w:left="7047" w:hanging="360"/>
      </w:pPr>
    </w:lvl>
    <w:lvl w:ilvl="8" w:tplc="0C0A001B" w:tentative="1">
      <w:start w:val="1"/>
      <w:numFmt w:val="lowerRoman"/>
      <w:lvlText w:val="%9."/>
      <w:lvlJc w:val="right"/>
      <w:pPr>
        <w:ind w:left="7767" w:hanging="180"/>
      </w:pPr>
    </w:lvl>
  </w:abstractNum>
  <w:abstractNum w:abstractNumId="8">
    <w:nsid w:val="128818F7"/>
    <w:multiLevelType w:val="hybridMultilevel"/>
    <w:tmpl w:val="F1ACD746"/>
    <w:lvl w:ilvl="0" w:tplc="4CF25F22">
      <w:start w:val="3"/>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31D60A9"/>
    <w:multiLevelType w:val="hybridMultilevel"/>
    <w:tmpl w:val="1A801A96"/>
    <w:lvl w:ilvl="0" w:tplc="AAC2829A">
      <w:start w:val="1"/>
      <w:numFmt w:val="decimal"/>
      <w:lvlText w:val="%1."/>
      <w:lvlJc w:val="left"/>
      <w:pPr>
        <w:tabs>
          <w:tab w:val="num" w:pos="720"/>
        </w:tabs>
        <w:ind w:left="720" w:hanging="360"/>
      </w:pPr>
      <w:rPr>
        <w:rFonts w:hint="default"/>
        <w:b/>
      </w:rPr>
    </w:lvl>
    <w:lvl w:ilvl="1" w:tplc="64268118">
      <w:start w:val="1"/>
      <w:numFmt w:val="bullet"/>
      <w:lvlText w:val=""/>
      <w:lvlJc w:val="left"/>
      <w:pPr>
        <w:tabs>
          <w:tab w:val="num" w:pos="1440"/>
        </w:tabs>
        <w:ind w:left="1440" w:hanging="360"/>
      </w:pPr>
      <w:rPr>
        <w:rFonts w:ascii="Symbol" w:eastAsia="Times New Roman" w:hAnsi="Symbol" w:cs="Aria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191C70F9"/>
    <w:multiLevelType w:val="hybridMultilevel"/>
    <w:tmpl w:val="BC0CA530"/>
    <w:lvl w:ilvl="0" w:tplc="0C0A000F">
      <w:start w:val="5"/>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243C37BB"/>
    <w:multiLevelType w:val="hybridMultilevel"/>
    <w:tmpl w:val="9FA038E4"/>
    <w:lvl w:ilvl="0" w:tplc="0C0A001B">
      <w:start w:val="1"/>
      <w:numFmt w:val="lowerRoman"/>
      <w:lvlText w:val="%1."/>
      <w:lvlJc w:val="righ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2">
    <w:nsid w:val="2AB80543"/>
    <w:multiLevelType w:val="hybridMultilevel"/>
    <w:tmpl w:val="7B4EF61A"/>
    <w:lvl w:ilvl="0" w:tplc="0C0A0017">
      <w:start w:val="9"/>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30E737BD"/>
    <w:multiLevelType w:val="hybridMultilevel"/>
    <w:tmpl w:val="2B2A6E60"/>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E0746102">
      <w:start w:val="1"/>
      <w:numFmt w:val="decimal"/>
      <w:lvlText w:val="%3."/>
      <w:lvlJc w:val="left"/>
      <w:pPr>
        <w:ind w:left="2727" w:hanging="180"/>
      </w:pPr>
      <w:rPr>
        <w:b/>
      </w:r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4">
    <w:nsid w:val="314B44AB"/>
    <w:multiLevelType w:val="hybridMultilevel"/>
    <w:tmpl w:val="5E7C56C0"/>
    <w:lvl w:ilvl="0" w:tplc="280A001B">
      <w:start w:val="1"/>
      <w:numFmt w:val="lowerRoman"/>
      <w:lvlText w:val="%1."/>
      <w:lvlJc w:val="right"/>
      <w:pPr>
        <w:ind w:left="1287" w:hanging="360"/>
      </w:pPr>
      <w:rPr>
        <w:b/>
        <w:i w:val="0"/>
        <w:sz w:val="25"/>
        <w:szCs w:val="25"/>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5">
    <w:nsid w:val="3191442D"/>
    <w:multiLevelType w:val="hybridMultilevel"/>
    <w:tmpl w:val="F1FACB48"/>
    <w:lvl w:ilvl="0" w:tplc="0CE6500A">
      <w:start w:val="1"/>
      <w:numFmt w:val="lowerRoman"/>
      <w:lvlText w:val="%1."/>
      <w:lvlJc w:val="right"/>
      <w:pPr>
        <w:tabs>
          <w:tab w:val="num" w:pos="720"/>
        </w:tabs>
        <w:ind w:left="720" w:hanging="360"/>
      </w:pPr>
      <w:rPr>
        <w:b/>
        <w:i w:val="0"/>
        <w:sz w:val="25"/>
        <w:szCs w:val="25"/>
      </w:rPr>
    </w:lvl>
    <w:lvl w:ilvl="1" w:tplc="0C0A0001">
      <w:start w:val="1"/>
      <w:numFmt w:val="bullet"/>
      <w:lvlText w:val=""/>
      <w:lvlJc w:val="left"/>
      <w:pPr>
        <w:tabs>
          <w:tab w:val="num" w:pos="1440"/>
        </w:tabs>
        <w:ind w:left="1440" w:hanging="360"/>
      </w:pPr>
      <w:rPr>
        <w:rFonts w:ascii="Symbol" w:hAnsi="Symbol" w:hint="default"/>
        <w:b/>
      </w:rPr>
    </w:lvl>
    <w:lvl w:ilvl="2" w:tplc="A5705B54">
      <w:start w:val="1"/>
      <w:numFmt w:val="lowerRoman"/>
      <w:lvlText w:val="(%3)"/>
      <w:lvlJc w:val="left"/>
      <w:pPr>
        <w:tabs>
          <w:tab w:val="num" w:pos="2700"/>
        </w:tabs>
        <w:ind w:left="2700" w:hanging="720"/>
      </w:pPr>
    </w:lvl>
    <w:lvl w:ilvl="3" w:tplc="2EF86878">
      <w:start w:val="1"/>
      <w:numFmt w:val="lowerLetter"/>
      <w:lvlText w:val="%4."/>
      <w:lvlJc w:val="left"/>
      <w:pPr>
        <w:tabs>
          <w:tab w:val="num" w:pos="2880"/>
        </w:tabs>
        <w:ind w:left="2880" w:hanging="360"/>
      </w:pPr>
      <w:rPr>
        <w:sz w:val="22"/>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6">
    <w:nsid w:val="32466705"/>
    <w:multiLevelType w:val="multilevel"/>
    <w:tmpl w:val="33B89EAC"/>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B7B237C"/>
    <w:multiLevelType w:val="hybridMultilevel"/>
    <w:tmpl w:val="012444D4"/>
    <w:lvl w:ilvl="0" w:tplc="F5C055C0">
      <w:start w:val="1"/>
      <w:numFmt w:val="decimal"/>
      <w:lvlText w:val="%1."/>
      <w:lvlJc w:val="left"/>
      <w:pPr>
        <w:tabs>
          <w:tab w:val="num" w:pos="360"/>
        </w:tabs>
        <w:ind w:left="360" w:hanging="360"/>
      </w:pPr>
      <w:rPr>
        <w:b/>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0"/>
        </w:tabs>
        <w:ind w:left="234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8">
    <w:nsid w:val="4113322F"/>
    <w:multiLevelType w:val="hybridMultilevel"/>
    <w:tmpl w:val="1E84024C"/>
    <w:lvl w:ilvl="0" w:tplc="9768E158">
      <w:start w:val="1"/>
      <w:numFmt w:val="decimal"/>
      <w:lvlText w:val="%1."/>
      <w:lvlJc w:val="left"/>
      <w:pPr>
        <w:tabs>
          <w:tab w:val="num" w:pos="720"/>
        </w:tabs>
        <w:ind w:left="720" w:hanging="360"/>
      </w:pPr>
      <w:rPr>
        <w:b/>
        <w:sz w:val="20"/>
        <w:szCs w:val="20"/>
      </w:rPr>
    </w:lvl>
    <w:lvl w:ilvl="1" w:tplc="0C0A0001">
      <w:start w:val="1"/>
      <w:numFmt w:val="bullet"/>
      <w:lvlText w:val=""/>
      <w:lvlJc w:val="left"/>
      <w:pPr>
        <w:tabs>
          <w:tab w:val="num" w:pos="1440"/>
        </w:tabs>
        <w:ind w:left="1440" w:hanging="360"/>
      </w:pPr>
      <w:rPr>
        <w:rFonts w:ascii="Symbol" w:hAnsi="Symbol" w:hint="default"/>
        <w:b/>
      </w:rPr>
    </w:lvl>
    <w:lvl w:ilvl="2" w:tplc="A5705B54">
      <w:start w:val="1"/>
      <w:numFmt w:val="lowerRoman"/>
      <w:lvlText w:val="(%3)"/>
      <w:lvlJc w:val="left"/>
      <w:pPr>
        <w:tabs>
          <w:tab w:val="num" w:pos="2700"/>
        </w:tabs>
        <w:ind w:left="2700" w:hanging="720"/>
      </w:pPr>
    </w:lvl>
    <w:lvl w:ilvl="3" w:tplc="2EF86878">
      <w:start w:val="1"/>
      <w:numFmt w:val="lowerLetter"/>
      <w:lvlText w:val="%4."/>
      <w:lvlJc w:val="left"/>
      <w:pPr>
        <w:tabs>
          <w:tab w:val="num" w:pos="2880"/>
        </w:tabs>
        <w:ind w:left="2880" w:hanging="360"/>
      </w:pPr>
      <w:rPr>
        <w:sz w:val="22"/>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9">
    <w:nsid w:val="43DD25EE"/>
    <w:multiLevelType w:val="singleLevel"/>
    <w:tmpl w:val="01AEEB50"/>
    <w:lvl w:ilvl="0">
      <w:start w:val="1"/>
      <w:numFmt w:val="decimal"/>
      <w:lvlText w:val="%1."/>
      <w:lvlJc w:val="left"/>
      <w:pPr>
        <w:tabs>
          <w:tab w:val="num" w:pos="2520"/>
        </w:tabs>
        <w:ind w:left="2520" w:hanging="360"/>
      </w:pPr>
      <w:rPr>
        <w:rFonts w:cs="Times New Roman"/>
        <w:b/>
        <w:shadow w:val="0"/>
      </w:rPr>
    </w:lvl>
  </w:abstractNum>
  <w:abstractNum w:abstractNumId="20">
    <w:nsid w:val="4A375564"/>
    <w:multiLevelType w:val="hybridMultilevel"/>
    <w:tmpl w:val="EDA6876A"/>
    <w:lvl w:ilvl="0" w:tplc="6074D102">
      <w:start w:val="1"/>
      <w:numFmt w:val="decimal"/>
      <w:lvlText w:val="%1."/>
      <w:lvlJc w:val="left"/>
      <w:pPr>
        <w:ind w:left="720" w:hanging="360"/>
      </w:pPr>
      <w:rPr>
        <w:rFonts w:eastAsia="Tahom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54F73FDD"/>
    <w:multiLevelType w:val="hybridMultilevel"/>
    <w:tmpl w:val="015C6C94"/>
    <w:lvl w:ilvl="0" w:tplc="EEE8C01E">
      <w:start w:val="1"/>
      <w:numFmt w:val="lowerRoman"/>
      <w:lvlText w:val="%1."/>
      <w:lvlJc w:val="right"/>
      <w:pPr>
        <w:tabs>
          <w:tab w:val="num" w:pos="1287"/>
        </w:tabs>
        <w:ind w:left="1287" w:hanging="720"/>
      </w:pPr>
      <w:rPr>
        <w:rFonts w:hint="default"/>
        <w:b/>
        <w:sz w:val="24"/>
        <w:szCs w:val="24"/>
      </w:rPr>
    </w:lvl>
    <w:lvl w:ilvl="1" w:tplc="0C0A0019" w:tentative="1">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22">
    <w:nsid w:val="55706F67"/>
    <w:multiLevelType w:val="hybridMultilevel"/>
    <w:tmpl w:val="C0589430"/>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55AA2171"/>
    <w:multiLevelType w:val="hybridMultilevel"/>
    <w:tmpl w:val="5A0E495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5C3F1D62"/>
    <w:multiLevelType w:val="hybridMultilevel"/>
    <w:tmpl w:val="984876DC"/>
    <w:lvl w:ilvl="0" w:tplc="61845AD4">
      <w:start w:val="1"/>
      <w:numFmt w:val="decimal"/>
      <w:lvlText w:val="%1."/>
      <w:lvlJc w:val="left"/>
      <w:pPr>
        <w:tabs>
          <w:tab w:val="num" w:pos="454"/>
        </w:tabs>
        <w:ind w:left="454" w:hanging="454"/>
      </w:pPr>
      <w:rPr>
        <w:rFonts w:ascii="Tahoma" w:hAnsi="Tahoma" w:cs="Tahoma" w:hint="default"/>
        <w:b/>
        <w:i w:val="0"/>
        <w:shadow w:val="0"/>
        <w:sz w:val="20"/>
        <w:szCs w:val="20"/>
        <w:u w:color="FFFFFF"/>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nsid w:val="5E193018"/>
    <w:multiLevelType w:val="hybridMultilevel"/>
    <w:tmpl w:val="9CE2FD60"/>
    <w:lvl w:ilvl="0" w:tplc="0C0A001B">
      <w:start w:val="1"/>
      <w:numFmt w:val="lowerRoman"/>
      <w:lvlText w:val="%1."/>
      <w:lvlJc w:val="righ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6">
    <w:nsid w:val="61862456"/>
    <w:multiLevelType w:val="hybridMultilevel"/>
    <w:tmpl w:val="474C85EA"/>
    <w:lvl w:ilvl="0" w:tplc="C07CCC50">
      <w:start w:val="1"/>
      <w:numFmt w:val="decimal"/>
      <w:lvlText w:val="%1."/>
      <w:lvlJc w:val="left"/>
      <w:pPr>
        <w:tabs>
          <w:tab w:val="num" w:pos="360"/>
        </w:tabs>
        <w:ind w:left="360" w:hanging="360"/>
      </w:pPr>
      <w:rPr>
        <w:rFonts w:ascii="Tahoma" w:hAnsi="Tahoma" w:cs="Tahoma" w:hint="default"/>
        <w:b/>
        <w:i w:val="0"/>
        <w:sz w:val="20"/>
        <w:szCs w:val="20"/>
      </w:rPr>
    </w:lvl>
    <w:lvl w:ilvl="1" w:tplc="0C0A0001">
      <w:start w:val="1"/>
      <w:numFmt w:val="bullet"/>
      <w:lvlText w:val=""/>
      <w:lvlJc w:val="left"/>
      <w:pPr>
        <w:tabs>
          <w:tab w:val="num" w:pos="1080"/>
        </w:tabs>
        <w:ind w:left="1080" w:hanging="360"/>
      </w:pPr>
      <w:rPr>
        <w:rFonts w:ascii="Symbol" w:hAnsi="Symbol" w:hint="default"/>
        <w:b w:val="0"/>
      </w:rPr>
    </w:lvl>
    <w:lvl w:ilvl="2" w:tplc="0C0A001B" w:tentative="1">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7">
    <w:nsid w:val="64915B51"/>
    <w:multiLevelType w:val="hybridMultilevel"/>
    <w:tmpl w:val="0696E9A0"/>
    <w:lvl w:ilvl="0" w:tplc="418283C4">
      <w:start w:val="1"/>
      <w:numFmt w:val="decimal"/>
      <w:lvlText w:val="%1."/>
      <w:lvlJc w:val="left"/>
      <w:pPr>
        <w:ind w:left="720" w:hanging="360"/>
      </w:pPr>
      <w:rPr>
        <w:b/>
        <w:i w:val="0"/>
        <w:sz w:val="21"/>
        <w:szCs w:val="2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65FE0EBD"/>
    <w:multiLevelType w:val="hybridMultilevel"/>
    <w:tmpl w:val="3D043226"/>
    <w:lvl w:ilvl="0" w:tplc="506A8BE4">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9">
    <w:nsid w:val="69355CA5"/>
    <w:multiLevelType w:val="hybridMultilevel"/>
    <w:tmpl w:val="EC70385E"/>
    <w:lvl w:ilvl="0" w:tplc="DC204B08">
      <w:start w:val="1"/>
      <w:numFmt w:val="low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6B102063"/>
    <w:multiLevelType w:val="hybridMultilevel"/>
    <w:tmpl w:val="CCEE451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nsid w:val="6C861B8C"/>
    <w:multiLevelType w:val="hybridMultilevel"/>
    <w:tmpl w:val="1196F7AC"/>
    <w:lvl w:ilvl="0" w:tplc="0C0A001B">
      <w:start w:val="1"/>
      <w:numFmt w:val="lowerRoman"/>
      <w:lvlText w:val="%1."/>
      <w:lvlJc w:val="right"/>
      <w:pPr>
        <w:tabs>
          <w:tab w:val="num" w:pos="720"/>
        </w:tabs>
        <w:ind w:left="720" w:hanging="360"/>
      </w:pPr>
      <w:rPr>
        <w:b/>
        <w:sz w:val="25"/>
        <w:szCs w:val="25"/>
      </w:rPr>
    </w:lvl>
    <w:lvl w:ilvl="1" w:tplc="0C0A0001">
      <w:start w:val="1"/>
      <w:numFmt w:val="bullet"/>
      <w:lvlText w:val=""/>
      <w:lvlJc w:val="left"/>
      <w:pPr>
        <w:tabs>
          <w:tab w:val="num" w:pos="1440"/>
        </w:tabs>
        <w:ind w:left="1440" w:hanging="360"/>
      </w:pPr>
      <w:rPr>
        <w:rFonts w:ascii="Symbol" w:hAnsi="Symbol" w:hint="default"/>
        <w:b/>
      </w:rPr>
    </w:lvl>
    <w:lvl w:ilvl="2" w:tplc="A5705B54">
      <w:start w:val="1"/>
      <w:numFmt w:val="lowerRoman"/>
      <w:lvlText w:val="(%3)"/>
      <w:lvlJc w:val="left"/>
      <w:pPr>
        <w:tabs>
          <w:tab w:val="num" w:pos="2700"/>
        </w:tabs>
        <w:ind w:left="2700" w:hanging="720"/>
      </w:pPr>
    </w:lvl>
    <w:lvl w:ilvl="3" w:tplc="2EF86878">
      <w:start w:val="1"/>
      <w:numFmt w:val="lowerLetter"/>
      <w:lvlText w:val="%4."/>
      <w:lvlJc w:val="left"/>
      <w:pPr>
        <w:tabs>
          <w:tab w:val="num" w:pos="2880"/>
        </w:tabs>
        <w:ind w:left="2880" w:hanging="360"/>
      </w:pPr>
      <w:rPr>
        <w:sz w:val="22"/>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2">
    <w:nsid w:val="744E3200"/>
    <w:multiLevelType w:val="hybridMultilevel"/>
    <w:tmpl w:val="6332CD50"/>
    <w:lvl w:ilvl="0" w:tplc="0C0A0017">
      <w:start w:val="5"/>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762251FD"/>
    <w:multiLevelType w:val="hybridMultilevel"/>
    <w:tmpl w:val="40A2D2F8"/>
    <w:lvl w:ilvl="0" w:tplc="14184C6A">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76991501"/>
    <w:multiLevelType w:val="hybridMultilevel"/>
    <w:tmpl w:val="EF8A3E92"/>
    <w:lvl w:ilvl="0" w:tplc="F22E792C">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776C2DBD"/>
    <w:multiLevelType w:val="hybridMultilevel"/>
    <w:tmpl w:val="6CF0CB68"/>
    <w:lvl w:ilvl="0" w:tplc="0BAAF704">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nsid w:val="7EC759A6"/>
    <w:multiLevelType w:val="hybridMultilevel"/>
    <w:tmpl w:val="92D690A2"/>
    <w:lvl w:ilvl="0" w:tplc="65B0A97C">
      <w:start w:val="1"/>
      <w:numFmt w:val="decimal"/>
      <w:lvlText w:val="%1."/>
      <w:lvlJc w:val="left"/>
      <w:pPr>
        <w:tabs>
          <w:tab w:val="num" w:pos="360"/>
        </w:tabs>
        <w:ind w:left="360" w:hanging="360"/>
      </w:pPr>
      <w:rPr>
        <w:rFonts w:hint="default"/>
        <w:b/>
      </w:rPr>
    </w:lvl>
    <w:lvl w:ilvl="1" w:tplc="0C0A0019">
      <w:start w:val="1"/>
      <w:numFmt w:val="lowerLetter"/>
      <w:lvlText w:val="%2."/>
      <w:lvlJc w:val="left"/>
      <w:pPr>
        <w:tabs>
          <w:tab w:val="num" w:pos="1080"/>
        </w:tabs>
        <w:ind w:left="1080" w:hanging="360"/>
      </w:pPr>
      <w:rPr>
        <w:rFonts w:hint="default"/>
        <w:b/>
      </w:rPr>
    </w:lvl>
    <w:lvl w:ilvl="2" w:tplc="F98E720A">
      <w:start w:val="1"/>
      <w:numFmt w:val="decimal"/>
      <w:lvlText w:val="%3)"/>
      <w:lvlJc w:val="left"/>
      <w:pPr>
        <w:ind w:left="2460" w:hanging="84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22"/>
  </w:num>
  <w:num w:numId="2">
    <w:abstractNumId w:val="36"/>
  </w:num>
  <w:num w:numId="3">
    <w:abstractNumId w:val="14"/>
  </w:num>
  <w:num w:numId="4">
    <w:abstractNumId w:val="27"/>
  </w:num>
  <w:num w:numId="5">
    <w:abstractNumId w:val="11"/>
  </w:num>
  <w:num w:numId="6">
    <w:abstractNumId w:val="13"/>
  </w:num>
  <w:num w:numId="7">
    <w:abstractNumId w:val="20"/>
  </w:num>
  <w:num w:numId="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num>
  <w:num w:numId="11">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5"/>
  </w:num>
  <w:num w:numId="16">
    <w:abstractNumId w:val="1"/>
  </w:num>
  <w:num w:numId="17">
    <w:abstractNumId w:val="4"/>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9"/>
  </w:num>
  <w:num w:numId="23">
    <w:abstractNumId w:val="17"/>
  </w:num>
  <w:num w:numId="24">
    <w:abstractNumId w:val="21"/>
  </w:num>
  <w:num w:numId="25">
    <w:abstractNumId w:val="0"/>
  </w:num>
  <w:num w:numId="26">
    <w:abstractNumId w:val="6"/>
  </w:num>
  <w:num w:numId="27">
    <w:abstractNumId w:val="7"/>
  </w:num>
  <w:num w:numId="28">
    <w:abstractNumId w:val="3"/>
  </w:num>
  <w:num w:numId="29">
    <w:abstractNumId w:val="30"/>
  </w:num>
  <w:num w:numId="30">
    <w:abstractNumId w:val="32"/>
  </w:num>
  <w:num w:numId="31">
    <w:abstractNumId w:val="12"/>
  </w:num>
  <w:num w:numId="32">
    <w:abstractNumId w:val="29"/>
  </w:num>
  <w:num w:numId="33">
    <w:abstractNumId w:val="8"/>
  </w:num>
  <w:num w:numId="34">
    <w:abstractNumId w:val="35"/>
  </w:num>
  <w:num w:numId="35">
    <w:abstractNumId w:val="10"/>
  </w:num>
  <w:num w:numId="36">
    <w:abstractNumId w:val="28"/>
  </w:num>
  <w:num w:numId="37">
    <w:abstractNumId w:val="26"/>
  </w:num>
  <w:num w:numId="38">
    <w:abstractNumId w:val="23"/>
  </w:num>
  <w:num w:numId="39">
    <w:abstractNumId w:val="5"/>
  </w:num>
  <w:num w:numId="40">
    <w:abstractNumId w:val="34"/>
  </w:num>
  <w:num w:numId="41">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4338"/>
  </w:hdrShapeDefaults>
  <w:footnotePr>
    <w:footnote w:id="0"/>
    <w:footnote w:id="1"/>
  </w:footnotePr>
  <w:endnotePr>
    <w:endnote w:id="0"/>
    <w:endnote w:id="1"/>
  </w:endnotePr>
  <w:compat/>
  <w:rsids>
    <w:rsidRoot w:val="00CB54EC"/>
    <w:rsid w:val="00000B57"/>
    <w:rsid w:val="00001D59"/>
    <w:rsid w:val="00027737"/>
    <w:rsid w:val="000365E7"/>
    <w:rsid w:val="00040C3C"/>
    <w:rsid w:val="0004450B"/>
    <w:rsid w:val="000740CC"/>
    <w:rsid w:val="000A0126"/>
    <w:rsid w:val="000A7712"/>
    <w:rsid w:val="000F10C5"/>
    <w:rsid w:val="00101CF1"/>
    <w:rsid w:val="00140333"/>
    <w:rsid w:val="00144694"/>
    <w:rsid w:val="00146D4D"/>
    <w:rsid w:val="00165CEA"/>
    <w:rsid w:val="00167930"/>
    <w:rsid w:val="00167ABD"/>
    <w:rsid w:val="00173473"/>
    <w:rsid w:val="00180FB4"/>
    <w:rsid w:val="001819B0"/>
    <w:rsid w:val="0018362F"/>
    <w:rsid w:val="00186534"/>
    <w:rsid w:val="001A3A89"/>
    <w:rsid w:val="001A42C7"/>
    <w:rsid w:val="001A5E2A"/>
    <w:rsid w:val="001C31E9"/>
    <w:rsid w:val="001C4DBD"/>
    <w:rsid w:val="001D4AD1"/>
    <w:rsid w:val="001E1EEA"/>
    <w:rsid w:val="00225B59"/>
    <w:rsid w:val="002410A2"/>
    <w:rsid w:val="00254079"/>
    <w:rsid w:val="002545E5"/>
    <w:rsid w:val="0027230D"/>
    <w:rsid w:val="002A4D6E"/>
    <w:rsid w:val="002F0578"/>
    <w:rsid w:val="003310DA"/>
    <w:rsid w:val="003548B6"/>
    <w:rsid w:val="00366EC6"/>
    <w:rsid w:val="00371B91"/>
    <w:rsid w:val="003944CA"/>
    <w:rsid w:val="003979D1"/>
    <w:rsid w:val="003C73C4"/>
    <w:rsid w:val="003F093E"/>
    <w:rsid w:val="003F20E3"/>
    <w:rsid w:val="00411451"/>
    <w:rsid w:val="00425365"/>
    <w:rsid w:val="00440454"/>
    <w:rsid w:val="004725D5"/>
    <w:rsid w:val="00486A43"/>
    <w:rsid w:val="00496C98"/>
    <w:rsid w:val="004C7639"/>
    <w:rsid w:val="004D7A78"/>
    <w:rsid w:val="00521EC1"/>
    <w:rsid w:val="00542A6E"/>
    <w:rsid w:val="00550DF9"/>
    <w:rsid w:val="00586286"/>
    <w:rsid w:val="005A154D"/>
    <w:rsid w:val="005C66C0"/>
    <w:rsid w:val="005F4CCF"/>
    <w:rsid w:val="005F755D"/>
    <w:rsid w:val="006344B0"/>
    <w:rsid w:val="00694E5D"/>
    <w:rsid w:val="006A6B5C"/>
    <w:rsid w:val="006E49D9"/>
    <w:rsid w:val="006F04D1"/>
    <w:rsid w:val="006F1F81"/>
    <w:rsid w:val="00710356"/>
    <w:rsid w:val="007346A6"/>
    <w:rsid w:val="00743A6D"/>
    <w:rsid w:val="00745C95"/>
    <w:rsid w:val="007615BF"/>
    <w:rsid w:val="007728C3"/>
    <w:rsid w:val="00772A5F"/>
    <w:rsid w:val="007C04D7"/>
    <w:rsid w:val="00801E2F"/>
    <w:rsid w:val="00807DBF"/>
    <w:rsid w:val="0081322F"/>
    <w:rsid w:val="008441F9"/>
    <w:rsid w:val="00880435"/>
    <w:rsid w:val="008A2701"/>
    <w:rsid w:val="008B1EE8"/>
    <w:rsid w:val="008F356E"/>
    <w:rsid w:val="0091325B"/>
    <w:rsid w:val="0096227C"/>
    <w:rsid w:val="00971A1A"/>
    <w:rsid w:val="009824BD"/>
    <w:rsid w:val="00984E2B"/>
    <w:rsid w:val="009B67DC"/>
    <w:rsid w:val="009B740E"/>
    <w:rsid w:val="00A00D36"/>
    <w:rsid w:val="00A01767"/>
    <w:rsid w:val="00A12593"/>
    <w:rsid w:val="00A13C7B"/>
    <w:rsid w:val="00A1536B"/>
    <w:rsid w:val="00A34527"/>
    <w:rsid w:val="00A440A9"/>
    <w:rsid w:val="00A62DE0"/>
    <w:rsid w:val="00A7744A"/>
    <w:rsid w:val="00A81D06"/>
    <w:rsid w:val="00AA4C58"/>
    <w:rsid w:val="00AD38AB"/>
    <w:rsid w:val="00AE13C9"/>
    <w:rsid w:val="00AF51E0"/>
    <w:rsid w:val="00B02DB1"/>
    <w:rsid w:val="00B05429"/>
    <w:rsid w:val="00B10726"/>
    <w:rsid w:val="00B108D8"/>
    <w:rsid w:val="00B4211E"/>
    <w:rsid w:val="00B80D9E"/>
    <w:rsid w:val="00B84CE3"/>
    <w:rsid w:val="00B913E7"/>
    <w:rsid w:val="00BA05A0"/>
    <w:rsid w:val="00C40C3E"/>
    <w:rsid w:val="00C46EE5"/>
    <w:rsid w:val="00CB54EC"/>
    <w:rsid w:val="00CC1E52"/>
    <w:rsid w:val="00CE1383"/>
    <w:rsid w:val="00CF1784"/>
    <w:rsid w:val="00D07001"/>
    <w:rsid w:val="00D214B3"/>
    <w:rsid w:val="00D31E9B"/>
    <w:rsid w:val="00D60FC2"/>
    <w:rsid w:val="00D7322C"/>
    <w:rsid w:val="00DA1D6F"/>
    <w:rsid w:val="00DF359B"/>
    <w:rsid w:val="00E179AF"/>
    <w:rsid w:val="00E309D8"/>
    <w:rsid w:val="00E441F6"/>
    <w:rsid w:val="00E602AF"/>
    <w:rsid w:val="00E66EA9"/>
    <w:rsid w:val="00E81F6C"/>
    <w:rsid w:val="00E90BCA"/>
    <w:rsid w:val="00EB5AA0"/>
    <w:rsid w:val="00EC1325"/>
    <w:rsid w:val="00ED7BED"/>
    <w:rsid w:val="00EE4446"/>
    <w:rsid w:val="00EF4BC8"/>
    <w:rsid w:val="00F000D1"/>
    <w:rsid w:val="00F30E8C"/>
    <w:rsid w:val="00F31433"/>
    <w:rsid w:val="00F37A0E"/>
    <w:rsid w:val="00F417DC"/>
    <w:rsid w:val="00F808D3"/>
    <w:rsid w:val="00FA6039"/>
    <w:rsid w:val="00FB69C2"/>
    <w:rsid w:val="00FC712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4EC"/>
    <w:pPr>
      <w:spacing w:after="0" w:line="240" w:lineRule="auto"/>
    </w:pPr>
    <w:rPr>
      <w:rFonts w:ascii="Times New Roman" w:eastAsia="Calibri" w:hAnsi="Times New Roman" w:cs="Times New Roman"/>
      <w:sz w:val="24"/>
      <w:szCs w:val="24"/>
      <w:lang w:eastAsia="es-ES"/>
    </w:rPr>
  </w:style>
  <w:style w:type="paragraph" w:styleId="Ttulo3">
    <w:name w:val="heading 3"/>
    <w:basedOn w:val="Normal"/>
    <w:next w:val="Normal"/>
    <w:link w:val="Ttulo3Car"/>
    <w:uiPriority w:val="9"/>
    <w:unhideWhenUsed/>
    <w:qFormat/>
    <w:rsid w:val="00CB54EC"/>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AF51E0"/>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CB54EC"/>
    <w:rPr>
      <w:rFonts w:asciiTheme="majorHAnsi" w:eastAsiaTheme="majorEastAsia" w:hAnsiTheme="majorHAnsi" w:cstheme="majorBidi"/>
      <w:b/>
      <w:bCs/>
      <w:color w:val="4F81BD" w:themeColor="accent1"/>
      <w:sz w:val="24"/>
      <w:szCs w:val="24"/>
      <w:lang w:eastAsia="es-ES"/>
    </w:rPr>
  </w:style>
  <w:style w:type="paragraph" w:styleId="Piedepgina">
    <w:name w:val="footer"/>
    <w:basedOn w:val="Normal"/>
    <w:link w:val="PiedepginaCar"/>
    <w:rsid w:val="00CB54EC"/>
    <w:pPr>
      <w:tabs>
        <w:tab w:val="center" w:pos="4252"/>
        <w:tab w:val="right" w:pos="8504"/>
      </w:tabs>
    </w:pPr>
  </w:style>
  <w:style w:type="character" w:customStyle="1" w:styleId="PiedepginaCar">
    <w:name w:val="Pie de página Car"/>
    <w:basedOn w:val="Fuentedeprrafopredeter"/>
    <w:link w:val="Piedepgina"/>
    <w:rsid w:val="00CB54EC"/>
    <w:rPr>
      <w:rFonts w:ascii="Times New Roman" w:eastAsia="Calibri" w:hAnsi="Times New Roman" w:cs="Times New Roman"/>
      <w:sz w:val="24"/>
      <w:szCs w:val="24"/>
      <w:lang w:eastAsia="es-ES"/>
    </w:rPr>
  </w:style>
  <w:style w:type="paragraph" w:customStyle="1" w:styleId="Textoindependiente21">
    <w:name w:val="Texto independiente 21"/>
    <w:basedOn w:val="Normal"/>
    <w:rsid w:val="00CB54EC"/>
    <w:pPr>
      <w:jc w:val="both"/>
    </w:pPr>
    <w:rPr>
      <w:rFonts w:ascii="Tahoma" w:hAnsi="Tahoma"/>
      <w:sz w:val="22"/>
      <w:szCs w:val="20"/>
    </w:rPr>
  </w:style>
  <w:style w:type="paragraph" w:styleId="Textoindependiente3">
    <w:name w:val="Body Text 3"/>
    <w:basedOn w:val="Normal"/>
    <w:link w:val="Textoindependiente3Car"/>
    <w:rsid w:val="00CB54EC"/>
    <w:pPr>
      <w:jc w:val="center"/>
    </w:pPr>
    <w:rPr>
      <w:rFonts w:ascii="Arial" w:eastAsia="Batang" w:hAnsi="Arial"/>
      <w:b/>
      <w:sz w:val="20"/>
      <w:szCs w:val="20"/>
      <w:lang w:val="es-PE"/>
    </w:rPr>
  </w:style>
  <w:style w:type="character" w:customStyle="1" w:styleId="Textoindependiente3Car">
    <w:name w:val="Texto independiente 3 Car"/>
    <w:basedOn w:val="Fuentedeprrafopredeter"/>
    <w:link w:val="Textoindependiente3"/>
    <w:rsid w:val="00CB54EC"/>
    <w:rPr>
      <w:rFonts w:ascii="Arial" w:eastAsia="Batang" w:hAnsi="Arial" w:cs="Times New Roman"/>
      <w:b/>
      <w:sz w:val="20"/>
      <w:szCs w:val="20"/>
      <w:lang w:val="es-PE" w:eastAsia="es-ES"/>
    </w:rPr>
  </w:style>
  <w:style w:type="paragraph" w:styleId="Textoindependiente">
    <w:name w:val="Body Text"/>
    <w:basedOn w:val="Normal"/>
    <w:link w:val="TextoindependienteCar"/>
    <w:rsid w:val="00CB54EC"/>
    <w:pPr>
      <w:spacing w:after="120"/>
    </w:pPr>
  </w:style>
  <w:style w:type="character" w:customStyle="1" w:styleId="TextoindependienteCar">
    <w:name w:val="Texto independiente Car"/>
    <w:basedOn w:val="Fuentedeprrafopredeter"/>
    <w:link w:val="Textoindependiente"/>
    <w:rsid w:val="00CB54EC"/>
    <w:rPr>
      <w:rFonts w:ascii="Times New Roman" w:eastAsia="Calibri" w:hAnsi="Times New Roman" w:cs="Times New Roman"/>
      <w:sz w:val="24"/>
      <w:szCs w:val="24"/>
      <w:lang w:eastAsia="es-ES"/>
    </w:rPr>
  </w:style>
  <w:style w:type="paragraph" w:styleId="Textonotapie">
    <w:name w:val="footnote text"/>
    <w:aliases w:val="Car, Car,Car Car Car, Car4,Texto nota pie1,Body Text,Car4, Car2 Car Car Car Car Car, Car2 Car, Car2, Car1 Car,Car1 Car Car, Car2 Car1 Car, Car Car Car, Car1, Car3, Car1 Car Car Car Car Car, Car1 Car Car Car Car,Ca,Car Car1,Car1 Car"/>
    <w:basedOn w:val="Normal"/>
    <w:link w:val="TextonotapieCar"/>
    <w:rsid w:val="00CB54EC"/>
    <w:rPr>
      <w:sz w:val="20"/>
      <w:szCs w:val="20"/>
    </w:rPr>
  </w:style>
  <w:style w:type="character" w:customStyle="1" w:styleId="TextonotapieCar">
    <w:name w:val="Texto nota pie Car"/>
    <w:aliases w:val="Car Car, Car Car,Car Car Car Car, Car4 Car,Texto nota pie1 Car,Body Text Car,Car4 Car, Car2 Car Car Car Car Car Car, Car2 Car Car, Car2 Car1, Car1 Car Car,Car1 Car Car Car, Car2 Car1 Car Car, Car Car Car Car, Car1 Car1, Car3 Car"/>
    <w:basedOn w:val="Fuentedeprrafopredeter"/>
    <w:link w:val="Textonotapie"/>
    <w:rsid w:val="00CB54EC"/>
    <w:rPr>
      <w:rFonts w:ascii="Times New Roman" w:eastAsia="Calibri" w:hAnsi="Times New Roman" w:cs="Times New Roman"/>
      <w:sz w:val="20"/>
      <w:szCs w:val="20"/>
      <w:lang w:eastAsia="es-ES"/>
    </w:rPr>
  </w:style>
  <w:style w:type="character" w:styleId="Refdenotaalpie">
    <w:name w:val="footnote reference"/>
    <w:basedOn w:val="Fuentedeprrafopredeter"/>
    <w:rsid w:val="00CB54EC"/>
    <w:rPr>
      <w:rFonts w:cs="Times New Roman"/>
      <w:vertAlign w:val="superscript"/>
    </w:rPr>
  </w:style>
  <w:style w:type="paragraph" w:styleId="Prrafodelista">
    <w:name w:val="List Paragraph"/>
    <w:basedOn w:val="Normal"/>
    <w:uiPriority w:val="34"/>
    <w:qFormat/>
    <w:rsid w:val="00CB54EC"/>
    <w:pPr>
      <w:ind w:left="720"/>
      <w:contextualSpacing/>
    </w:pPr>
    <w:rPr>
      <w:rFonts w:eastAsia="Times New Roman"/>
      <w:sz w:val="20"/>
      <w:szCs w:val="20"/>
      <w:lang w:eastAsia="es-PE"/>
    </w:rPr>
  </w:style>
  <w:style w:type="paragraph" w:styleId="Sangradetextonormal">
    <w:name w:val="Body Text Indent"/>
    <w:basedOn w:val="Normal"/>
    <w:link w:val="SangradetextonormalCar"/>
    <w:unhideWhenUsed/>
    <w:rsid w:val="00CB54EC"/>
    <w:pPr>
      <w:spacing w:after="120"/>
      <w:ind w:left="283"/>
    </w:pPr>
    <w:rPr>
      <w:rFonts w:eastAsia="Times New Roman"/>
    </w:rPr>
  </w:style>
  <w:style w:type="character" w:customStyle="1" w:styleId="SangradetextonormalCar">
    <w:name w:val="Sangría de texto normal Car"/>
    <w:basedOn w:val="Fuentedeprrafopredeter"/>
    <w:link w:val="Sangradetextonormal"/>
    <w:rsid w:val="00CB54EC"/>
    <w:rPr>
      <w:rFonts w:ascii="Times New Roman" w:eastAsia="Times New Roman" w:hAnsi="Times New Roman" w:cs="Times New Roman"/>
      <w:sz w:val="24"/>
      <w:szCs w:val="24"/>
      <w:lang w:eastAsia="es-ES"/>
    </w:rPr>
  </w:style>
  <w:style w:type="paragraph" w:customStyle="1" w:styleId="Textoindependiente22">
    <w:name w:val="Texto independiente 22"/>
    <w:basedOn w:val="Normal"/>
    <w:rsid w:val="00CB54EC"/>
    <w:pPr>
      <w:jc w:val="both"/>
    </w:pPr>
    <w:rPr>
      <w:rFonts w:ascii="Tahoma" w:eastAsia="Times New Roman" w:hAnsi="Tahoma"/>
      <w:sz w:val="22"/>
      <w:szCs w:val="20"/>
    </w:rPr>
  </w:style>
  <w:style w:type="paragraph" w:styleId="Sinespaciado">
    <w:name w:val="No Spacing"/>
    <w:uiPriority w:val="1"/>
    <w:qFormat/>
    <w:rsid w:val="00CB54EC"/>
    <w:pPr>
      <w:spacing w:after="0" w:line="240" w:lineRule="auto"/>
    </w:pPr>
    <w:rPr>
      <w:rFonts w:ascii="Times New Roman" w:eastAsia="Times New Roman" w:hAnsi="Times New Roman" w:cs="Times New Roman"/>
      <w:sz w:val="20"/>
      <w:szCs w:val="20"/>
      <w:lang w:eastAsia="es-ES"/>
    </w:rPr>
  </w:style>
  <w:style w:type="paragraph" w:styleId="Textoindependiente2">
    <w:name w:val="Body Text 2"/>
    <w:basedOn w:val="Normal"/>
    <w:link w:val="Textoindependiente2Car"/>
    <w:uiPriority w:val="99"/>
    <w:semiHidden/>
    <w:unhideWhenUsed/>
    <w:rsid w:val="004C7639"/>
    <w:pPr>
      <w:spacing w:after="120" w:line="480" w:lineRule="auto"/>
    </w:pPr>
  </w:style>
  <w:style w:type="character" w:customStyle="1" w:styleId="Textoindependiente2Car">
    <w:name w:val="Texto independiente 2 Car"/>
    <w:basedOn w:val="Fuentedeprrafopredeter"/>
    <w:link w:val="Textoindependiente2"/>
    <w:uiPriority w:val="99"/>
    <w:semiHidden/>
    <w:rsid w:val="004C7639"/>
    <w:rPr>
      <w:rFonts w:ascii="Times New Roman" w:eastAsia="Calibri" w:hAnsi="Times New Roman" w:cs="Times New Roman"/>
      <w:sz w:val="24"/>
      <w:szCs w:val="24"/>
      <w:lang w:eastAsia="es-ES"/>
    </w:rPr>
  </w:style>
  <w:style w:type="paragraph" w:styleId="NormalWeb">
    <w:name w:val="Normal (Web)"/>
    <w:basedOn w:val="Normal"/>
    <w:uiPriority w:val="99"/>
    <w:unhideWhenUsed/>
    <w:rsid w:val="009B67DC"/>
    <w:pPr>
      <w:spacing w:before="100" w:beforeAutospacing="1" w:after="100" w:afterAutospacing="1"/>
    </w:pPr>
    <w:rPr>
      <w:rFonts w:eastAsia="Times New Roman"/>
    </w:rPr>
  </w:style>
  <w:style w:type="character" w:customStyle="1" w:styleId="Ttulo4Car">
    <w:name w:val="Título 4 Car"/>
    <w:basedOn w:val="Fuentedeprrafopredeter"/>
    <w:link w:val="Ttulo4"/>
    <w:uiPriority w:val="9"/>
    <w:semiHidden/>
    <w:rsid w:val="00AF51E0"/>
    <w:rPr>
      <w:rFonts w:asciiTheme="majorHAnsi" w:eastAsiaTheme="majorEastAsia" w:hAnsiTheme="majorHAnsi" w:cstheme="majorBidi"/>
      <w:b/>
      <w:bCs/>
      <w:i/>
      <w:iCs/>
      <w:color w:val="4F81BD" w:themeColor="accent1"/>
      <w:sz w:val="24"/>
      <w:szCs w:val="24"/>
      <w:lang w:eastAsia="es-ES"/>
    </w:rPr>
  </w:style>
  <w:style w:type="paragraph" w:styleId="Encabezado">
    <w:name w:val="header"/>
    <w:aliases w:val="maria,h"/>
    <w:basedOn w:val="Normal"/>
    <w:link w:val="EncabezadoCar"/>
    <w:uiPriority w:val="99"/>
    <w:unhideWhenUsed/>
    <w:rsid w:val="00186534"/>
    <w:pPr>
      <w:tabs>
        <w:tab w:val="center" w:pos="4252"/>
        <w:tab w:val="right" w:pos="8504"/>
      </w:tabs>
    </w:pPr>
    <w:rPr>
      <w:rFonts w:eastAsia="Times New Roman"/>
      <w:sz w:val="20"/>
      <w:szCs w:val="20"/>
    </w:rPr>
  </w:style>
  <w:style w:type="character" w:customStyle="1" w:styleId="EncabezadoCar">
    <w:name w:val="Encabezado Car"/>
    <w:aliases w:val="maria Car,h Car"/>
    <w:basedOn w:val="Fuentedeprrafopredeter"/>
    <w:link w:val="Encabezado"/>
    <w:uiPriority w:val="99"/>
    <w:rsid w:val="00186534"/>
    <w:rPr>
      <w:rFonts w:ascii="Times New Roman" w:eastAsia="Times New Roman" w:hAnsi="Times New Roman" w:cs="Times New Roman"/>
      <w:sz w:val="20"/>
      <w:szCs w:val="20"/>
      <w:lang w:eastAsia="es-ES"/>
    </w:rPr>
  </w:style>
  <w:style w:type="paragraph" w:customStyle="1" w:styleId="Prrafodelista1">
    <w:name w:val="Párrafo de lista1"/>
    <w:basedOn w:val="Normal"/>
    <w:uiPriority w:val="99"/>
    <w:rsid w:val="00371B91"/>
    <w:pPr>
      <w:ind w:left="708"/>
      <w:jc w:val="both"/>
    </w:pPr>
    <w:rPr>
      <w:rFonts w:ascii="Tahoma" w:eastAsia="Times New Roman" w:hAnsi="Tahoma" w:cs="Tahoma"/>
      <w:sz w:val="22"/>
      <w:szCs w:val="22"/>
      <w:lang w:eastAsia="en-US"/>
    </w:rPr>
  </w:style>
</w:styles>
</file>

<file path=word/webSettings.xml><?xml version="1.0" encoding="utf-8"?>
<w:webSettings xmlns:r="http://schemas.openxmlformats.org/officeDocument/2006/relationships" xmlns:w="http://schemas.openxmlformats.org/wordprocessingml/2006/main">
  <w:divs>
    <w:div w:id="77917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10</Pages>
  <Words>4048</Words>
  <Characters>22270</Characters>
  <Application>Microsoft Office Word</Application>
  <DocSecurity>0</DocSecurity>
  <Lines>185</Lines>
  <Paragraphs>52</Paragraphs>
  <ScaleCrop>false</ScaleCrop>
  <Company/>
  <LinksUpToDate>false</LinksUpToDate>
  <CharactersWithSpaces>26266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165</cp:revision>
  <cp:lastPrinted>2011-05-27T15:15:00Z</cp:lastPrinted>
  <dcterms:created xsi:type="dcterms:W3CDTF">2010-01-26T16:40:00Z</dcterms:created>
  <dcterms:modified xsi:type="dcterms:W3CDTF">2011-06-22T14:24:00Z</dcterms:modified>
</cp:coreProperties>
</file>